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7.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8.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9.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0.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3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4.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6.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7.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8.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9.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8E749" w14:textId="77777777" w:rsidR="005948DB" w:rsidRDefault="001F3C42" w:rsidP="002B5E64">
      <w:pPr>
        <w:pStyle w:val="Title"/>
        <w:spacing w:before="2880"/>
        <w:ind w:firstLine="284"/>
      </w:pPr>
      <w:bookmarkStart w:id="0" w:name="_Hlk87275035"/>
      <w:r>
        <w:rPr>
          <w:noProof/>
        </w:rPr>
        <w:drawing>
          <wp:anchor distT="0" distB="0" distL="0" distR="0" simplePos="0" relativeHeight="251656704" behindDoc="1" locked="0" layoutInCell="0" allowOverlap="1" wp14:anchorId="225B22E1" wp14:editId="1D55DA32">
            <wp:simplePos x="0" y="0"/>
            <wp:positionH relativeFrom="column">
              <wp:posOffset>-356892</wp:posOffset>
            </wp:positionH>
            <wp:positionV relativeFrom="paragraph">
              <wp:posOffset>20889</wp:posOffset>
            </wp:positionV>
            <wp:extent cx="7038427" cy="9110345"/>
            <wp:effectExtent l="0" t="0" r="0" b="0"/>
            <wp:wrapNone/>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cstate="email">
                      <a:extLst>
                        <a:ext uri="{28A0092B-C50C-407E-A947-70E740481C1C}">
                          <a14:useLocalDpi xmlns:a14="http://schemas.microsoft.com/office/drawing/2010/main" val="0"/>
                        </a:ext>
                      </a:extLst>
                    </a:blip>
                    <a:stretch>
                      <a:fillRect/>
                    </a:stretch>
                  </pic:blipFill>
                  <pic:spPr bwMode="auto">
                    <a:xfrm>
                      <a:off x="0" y="0"/>
                      <a:ext cx="7038427" cy="9110345"/>
                    </a:xfrm>
                    <a:prstGeom prst="rect">
                      <a:avLst/>
                    </a:prstGeom>
                  </pic:spPr>
                </pic:pic>
              </a:graphicData>
            </a:graphic>
          </wp:anchor>
        </w:drawing>
      </w:r>
      <w:r w:rsidR="002B5E64" w:rsidRPr="002B5E64">
        <w:rPr>
          <w:noProof/>
        </w:rPr>
        <w:t>NORTH MELBOURNE VIC 3051 Houses</w:t>
      </w:r>
    </w:p>
    <w:bookmarkEnd w:id="0"/>
    <w:p w14:paraId="5B3D9A88" w14:textId="77777777" w:rsidR="00902157" w:rsidRDefault="00902157">
      <w:pPr>
        <w:spacing w:after="0" w:line="240" w:lineRule="auto"/>
        <w:rPr>
          <w:rFonts w:eastAsiaTheme="minorEastAsia"/>
          <w:color w:val="5A5A5A" w:themeColor="text1" w:themeTint="A5"/>
          <w:spacing w:val="15"/>
        </w:rPr>
      </w:pPr>
      <w:r>
        <w:br w:type="page"/>
      </w:r>
    </w:p>
    <w:p w14:paraId="655E4A64" w14:textId="77777777" w:rsidR="00EE3955" w:rsidRPr="009D712F" w:rsidRDefault="00456187" w:rsidP="009D712F">
      <w:pPr>
        <w:pStyle w:val="Standard"/>
        <w:rPr>
          <w:rStyle w:val="BookTitle"/>
          <w:i w:val="0"/>
          <w:iCs w:val="0"/>
          <w:spacing w:val="0"/>
          <w:sz w:val="24"/>
          <w:szCs w:val="24"/>
        </w:rPr>
      </w:pPr>
      <w:r w:rsidRPr="009D712F">
        <w:rPr>
          <w:rStyle w:val="BookTitle"/>
          <w:i w:val="0"/>
          <w:iCs w:val="0"/>
          <w:spacing w:val="0"/>
          <w:sz w:val="24"/>
          <w:szCs w:val="24"/>
        </w:rPr>
        <w:lastRenderedPageBreak/>
        <w:t>Suburb</w:t>
      </w:r>
      <w:r w:rsidR="00EE3955" w:rsidRPr="009D712F">
        <w:rPr>
          <w:rStyle w:val="BookTitle"/>
          <w:i w:val="0"/>
          <w:iCs w:val="0"/>
          <w:spacing w:val="0"/>
          <w:sz w:val="24"/>
          <w:szCs w:val="24"/>
        </w:rPr>
        <w:t xml:space="preserve"> Report for </w:t>
      </w:r>
      <w:bookmarkStart w:id="1" w:name="_Hlk87606657"/>
      <w:r w:rsidR="001F3C42" w:rsidRPr="009D712F">
        <w:rPr>
          <w:rStyle w:val="BookTitle"/>
          <w:i w:val="0"/>
          <w:iCs w:val="0"/>
          <w:spacing w:val="0"/>
          <w:sz w:val="24"/>
          <w:szCs w:val="24"/>
        </w:rPr>
        <w:t>NORTH MELBOURNE VIC 3051 Houses</w:t>
      </w:r>
      <w:bookmarkEnd w:id="1"/>
      <w:r w:rsidR="00EE3955" w:rsidRPr="009D712F">
        <w:rPr>
          <w:rStyle w:val="BookTitle"/>
          <w:i w:val="0"/>
          <w:iCs w:val="0"/>
          <w:spacing w:val="0"/>
          <w:sz w:val="24"/>
          <w:szCs w:val="24"/>
        </w:rPr>
        <w:t xml:space="preserve"> for 31 October 2021</w:t>
      </w:r>
    </w:p>
    <w:sdt>
      <w:sdtPr>
        <w:rPr>
          <w:rFonts w:asciiTheme="minorHAnsi" w:eastAsiaTheme="minorHAnsi" w:hAnsiTheme="minorHAnsi" w:cstheme="minorBidi"/>
          <w:color w:val="auto"/>
          <w:sz w:val="22"/>
          <w:szCs w:val="22"/>
          <w:lang w:val="en-AU"/>
        </w:rPr>
        <w:id w:val="1739511947"/>
        <w:docPartObj>
          <w:docPartGallery w:val="Table of Contents"/>
          <w:docPartUnique/>
        </w:docPartObj>
      </w:sdtPr>
      <w:sdtEndPr>
        <w:rPr>
          <w:b/>
          <w:bCs/>
          <w:noProof/>
          <w:lang w:val="en-GB"/>
        </w:rPr>
      </w:sdtEndPr>
      <w:sdtContent>
        <w:p w14:paraId="6D58C940" w14:textId="77777777" w:rsidR="0068180E" w:rsidRDefault="00DA3B3A">
          <w:pPr>
            <w:pStyle w:val="TOCHeading"/>
          </w:pPr>
          <w:r>
            <w:t>Contents</w:t>
          </w:r>
        </w:p>
        <w:p w14:paraId="022D7DD0" w14:textId="77777777" w:rsidR="0068180E" w:rsidRDefault="00DA3B3A">
          <w:pPr>
            <w:pStyle w:val="TOC2"/>
            <w:tabs>
              <w:tab w:val="right" w:leader="dot" w:pos="9016"/>
            </w:tabs>
            <w:rPr>
              <w:noProof/>
            </w:rPr>
          </w:pPr>
          <w:r>
            <w:rPr>
              <w:b/>
              <w:bCs/>
              <w:noProof/>
            </w:rPr>
            <w:fldChar w:fldCharType="begin"/>
          </w:r>
          <w:r>
            <w:rPr>
              <w:b/>
              <w:bCs/>
              <w:noProof/>
            </w:rPr>
            <w:instrText xml:space="preserve"> TOC \o "1-3" \h \z \u </w:instrText>
          </w:r>
          <w:r>
            <w:rPr>
              <w:b/>
              <w:bCs/>
              <w:noProof/>
            </w:rPr>
            <w:fldChar w:fldCharType="separate"/>
          </w:r>
          <w:hyperlink w:anchor="_Toc1637625179097" w:history="1">
            <w:r>
              <w:rPr>
                <w:rStyle w:val="Hyperlink"/>
                <w:noProof/>
              </w:rPr>
              <w:t>Introduction</w:t>
            </w:r>
            <w:r>
              <w:rPr>
                <w:noProof/>
                <w:webHidden/>
              </w:rPr>
              <w:tab/>
            </w:r>
            <w:r>
              <w:rPr>
                <w:noProof/>
                <w:webHidden/>
              </w:rPr>
              <w:fldChar w:fldCharType="begin"/>
            </w:r>
            <w:r>
              <w:rPr>
                <w:noProof/>
                <w:webHidden/>
              </w:rPr>
              <w:instrText xml:space="preserve"> PAGEREF _Toc1637625179097 \h </w:instrText>
            </w:r>
            <w:r>
              <w:rPr>
                <w:noProof/>
                <w:webHidden/>
              </w:rPr>
            </w:r>
            <w:r>
              <w:rPr>
                <w:noProof/>
                <w:webHidden/>
              </w:rPr>
              <w:fldChar w:fldCharType="separate"/>
            </w:r>
            <w:r>
              <w:rPr>
                <w:noProof/>
                <w:webHidden/>
              </w:rPr>
              <w:fldChar w:fldCharType="end"/>
            </w:r>
          </w:hyperlink>
        </w:p>
        <w:p w14:paraId="264034DC" w14:textId="77777777" w:rsidR="0068180E" w:rsidRDefault="00DA3B3A">
          <w:pPr>
            <w:pStyle w:val="TOC2"/>
            <w:tabs>
              <w:tab w:val="right" w:leader="dot" w:pos="9016"/>
            </w:tabs>
            <w:rPr>
              <w:noProof/>
            </w:rPr>
          </w:pPr>
          <w:hyperlink w:anchor="_Toc1637625179098" w:history="1">
            <w:r>
              <w:rPr>
                <w:rStyle w:val="Hyperlink"/>
                <w:noProof/>
              </w:rPr>
              <w:t>Demographics</w:t>
            </w:r>
            <w:r>
              <w:rPr>
                <w:noProof/>
                <w:webHidden/>
              </w:rPr>
              <w:tab/>
            </w:r>
            <w:r>
              <w:rPr>
                <w:noProof/>
                <w:webHidden/>
              </w:rPr>
              <w:fldChar w:fldCharType="begin"/>
            </w:r>
            <w:r>
              <w:rPr>
                <w:noProof/>
                <w:webHidden/>
              </w:rPr>
              <w:instrText xml:space="preserve"> PAGEREF _Toc1637625179098 h </w:instrText>
            </w:r>
            <w:r>
              <w:rPr>
                <w:noProof/>
                <w:webHidden/>
              </w:rPr>
              <w:fldChar w:fldCharType="separate"/>
            </w:r>
            <w:r>
              <w:rPr>
                <w:noProof/>
                <w:webHidden/>
              </w:rPr>
              <w:fldChar w:fldCharType="end"/>
            </w:r>
          </w:hyperlink>
        </w:p>
        <w:p w14:paraId="08389A6B" w14:textId="77777777" w:rsidR="0068180E" w:rsidRDefault="00DA3B3A">
          <w:pPr>
            <w:pStyle w:val="TOC2"/>
            <w:tabs>
              <w:tab w:val="right" w:leader="dot" w:pos="9016"/>
            </w:tabs>
            <w:rPr>
              <w:noProof/>
            </w:rPr>
          </w:pPr>
          <w:hyperlink w:anchor="_Toc1637625179099" w:history="1">
            <w:r>
              <w:rPr>
                <w:rStyle w:val="Hyperlink"/>
                <w:noProof/>
              </w:rPr>
              <w:t>Suburb Report basis</w:t>
            </w:r>
            <w:r>
              <w:rPr>
                <w:noProof/>
                <w:webHidden/>
              </w:rPr>
              <w:tab/>
            </w:r>
            <w:r>
              <w:rPr>
                <w:noProof/>
                <w:webHidden/>
              </w:rPr>
              <w:fldChar w:fldCharType="begin"/>
            </w:r>
            <w:r>
              <w:rPr>
                <w:noProof/>
                <w:webHidden/>
              </w:rPr>
              <w:instrText xml:space="preserve"> PAGEREF _Toc1637625179099 h </w:instrText>
            </w:r>
            <w:r>
              <w:rPr>
                <w:noProof/>
                <w:webHidden/>
              </w:rPr>
              <w:fldChar w:fldCharType="separate"/>
            </w:r>
            <w:r>
              <w:rPr>
                <w:noProof/>
                <w:webHidden/>
              </w:rPr>
              <w:fldChar w:fldCharType="end"/>
            </w:r>
          </w:hyperlink>
        </w:p>
        <w:p w14:paraId="7E88B1B7" w14:textId="77777777" w:rsidR="0068180E" w:rsidRDefault="00DA3B3A">
          <w:pPr>
            <w:pStyle w:val="TOC2"/>
            <w:tabs>
              <w:tab w:val="right" w:leader="dot" w:pos="9016"/>
            </w:tabs>
            <w:rPr>
              <w:noProof/>
            </w:rPr>
          </w:pPr>
          <w:hyperlink w:anchor="_Toc1637625179100" w:history="1">
            <w:r>
              <w:rPr>
                <w:rStyle w:val="Hyperlink"/>
                <w:noProof/>
              </w:rPr>
              <w:t>Demand to Supply Ratio+ (DSR+)</w:t>
            </w:r>
            <w:r>
              <w:rPr>
                <w:noProof/>
                <w:webHidden/>
              </w:rPr>
              <w:tab/>
            </w:r>
            <w:r>
              <w:rPr>
                <w:noProof/>
                <w:webHidden/>
              </w:rPr>
              <w:fldChar w:fldCharType="begin"/>
            </w:r>
            <w:r>
              <w:rPr>
                <w:noProof/>
                <w:webHidden/>
              </w:rPr>
              <w:instrText xml:space="preserve"> PAGEREF _Toc1637625179100 h </w:instrText>
            </w:r>
            <w:r>
              <w:rPr>
                <w:noProof/>
                <w:webHidden/>
              </w:rPr>
              <w:fldChar w:fldCharType="separate"/>
            </w:r>
            <w:r>
              <w:rPr>
                <w:noProof/>
                <w:webHidden/>
              </w:rPr>
              <w:fldChar w:fldCharType="end"/>
            </w:r>
          </w:hyperlink>
        </w:p>
        <w:p w14:paraId="5D16B82F" w14:textId="77777777" w:rsidR="0068180E" w:rsidRDefault="00DA3B3A">
          <w:pPr>
            <w:pStyle w:val="TOC2"/>
            <w:tabs>
              <w:tab w:val="right" w:leader="dot" w:pos="9016"/>
            </w:tabs>
            <w:rPr>
              <w:noProof/>
            </w:rPr>
          </w:pPr>
          <w:hyperlink w:anchor="_Toc1637625179101" w:history="1">
            <w:r>
              <w:rPr>
                <w:rStyle w:val="Hyperlink"/>
                <w:noProof/>
              </w:rPr>
              <w:t>Demand to Supply Ratio (DSR)</w:t>
            </w:r>
            <w:r>
              <w:rPr>
                <w:noProof/>
                <w:webHidden/>
              </w:rPr>
              <w:tab/>
            </w:r>
            <w:r>
              <w:rPr>
                <w:noProof/>
                <w:webHidden/>
              </w:rPr>
              <w:fldChar w:fldCharType="begin"/>
            </w:r>
            <w:r>
              <w:rPr>
                <w:noProof/>
                <w:webHidden/>
              </w:rPr>
              <w:instrText xml:space="preserve"> PAGEREF _Toc1637625179101 h </w:instrText>
            </w:r>
            <w:r>
              <w:rPr>
                <w:noProof/>
                <w:webHidden/>
              </w:rPr>
              <w:fldChar w:fldCharType="separate"/>
            </w:r>
            <w:r>
              <w:rPr>
                <w:noProof/>
                <w:webHidden/>
              </w:rPr>
              <w:fldChar w:fldCharType="end"/>
            </w:r>
          </w:hyperlink>
        </w:p>
        <w:p w14:paraId="4BA4C2E8" w14:textId="77777777" w:rsidR="0068180E" w:rsidRDefault="00DA3B3A">
          <w:pPr>
            <w:pStyle w:val="TOC2"/>
            <w:tabs>
              <w:tab w:val="right" w:leader="dot" w:pos="9016"/>
            </w:tabs>
            <w:rPr>
              <w:noProof/>
            </w:rPr>
          </w:pPr>
          <w:hyperlink w:anchor="_Toc1637625179102" w:history="1">
            <w:r>
              <w:rPr>
                <w:rStyle w:val="Hyperlink"/>
                <w:noProof/>
              </w:rPr>
              <w:t>Statistical reliability+ (SR+)</w:t>
            </w:r>
            <w:r>
              <w:rPr>
                <w:noProof/>
                <w:webHidden/>
              </w:rPr>
              <w:tab/>
            </w:r>
            <w:r>
              <w:rPr>
                <w:noProof/>
                <w:webHidden/>
              </w:rPr>
              <w:fldChar w:fldCharType="begin"/>
            </w:r>
            <w:r>
              <w:rPr>
                <w:noProof/>
                <w:webHidden/>
              </w:rPr>
              <w:instrText xml:space="preserve"> PAGEREF _Toc1637625179102 h </w:instrText>
            </w:r>
            <w:r>
              <w:rPr>
                <w:noProof/>
                <w:webHidden/>
              </w:rPr>
              <w:fldChar w:fldCharType="separate"/>
            </w:r>
            <w:r>
              <w:rPr>
                <w:noProof/>
                <w:webHidden/>
              </w:rPr>
              <w:fldChar w:fldCharType="end"/>
            </w:r>
          </w:hyperlink>
        </w:p>
        <w:p w14:paraId="0AD62456" w14:textId="77777777" w:rsidR="0068180E" w:rsidRDefault="00DA3B3A">
          <w:pPr>
            <w:pStyle w:val="TOC2"/>
            <w:tabs>
              <w:tab w:val="right" w:leader="dot" w:pos="9016"/>
            </w:tabs>
            <w:rPr>
              <w:noProof/>
            </w:rPr>
          </w:pPr>
          <w:hyperlink w:anchor="_Toc1637625179103" w:history="1">
            <w:r>
              <w:rPr>
                <w:rStyle w:val="Hyperlink"/>
                <w:noProof/>
              </w:rPr>
              <w:t>Statistical reliability (SR)</w:t>
            </w:r>
            <w:r>
              <w:rPr>
                <w:noProof/>
                <w:webHidden/>
              </w:rPr>
              <w:tab/>
            </w:r>
            <w:r>
              <w:rPr>
                <w:noProof/>
                <w:webHidden/>
              </w:rPr>
              <w:fldChar w:fldCharType="begin"/>
            </w:r>
            <w:r>
              <w:rPr>
                <w:noProof/>
                <w:webHidden/>
              </w:rPr>
              <w:instrText xml:space="preserve"> PAGEREF _Toc163762517</w:instrText>
            </w:r>
            <w:r>
              <w:rPr>
                <w:noProof/>
                <w:webHidden/>
              </w:rPr>
              <w:instrText xml:space="preserve">9103 h </w:instrText>
            </w:r>
            <w:r>
              <w:rPr>
                <w:noProof/>
                <w:webHidden/>
              </w:rPr>
              <w:fldChar w:fldCharType="separate"/>
            </w:r>
            <w:r>
              <w:rPr>
                <w:noProof/>
                <w:webHidden/>
              </w:rPr>
              <w:fldChar w:fldCharType="end"/>
            </w:r>
          </w:hyperlink>
        </w:p>
        <w:p w14:paraId="543CB9DA" w14:textId="77777777" w:rsidR="0068180E" w:rsidRDefault="00DA3B3A">
          <w:pPr>
            <w:pStyle w:val="TOC2"/>
            <w:tabs>
              <w:tab w:val="right" w:leader="dot" w:pos="9016"/>
            </w:tabs>
            <w:rPr>
              <w:noProof/>
            </w:rPr>
          </w:pPr>
          <w:hyperlink w:anchor="_Toc1637625179104" w:history="1">
            <w:r>
              <w:rPr>
                <w:rStyle w:val="Hyperlink"/>
                <w:noProof/>
              </w:rPr>
              <w:t>Typical value (TV)</w:t>
            </w:r>
            <w:r>
              <w:rPr>
                <w:noProof/>
                <w:webHidden/>
              </w:rPr>
              <w:tab/>
            </w:r>
            <w:r>
              <w:rPr>
                <w:noProof/>
                <w:webHidden/>
              </w:rPr>
              <w:fldChar w:fldCharType="begin"/>
            </w:r>
            <w:r>
              <w:rPr>
                <w:noProof/>
                <w:webHidden/>
              </w:rPr>
              <w:instrText xml:space="preserve"> PAGEREF _Toc1637625179104 h </w:instrText>
            </w:r>
            <w:r>
              <w:rPr>
                <w:noProof/>
                <w:webHidden/>
              </w:rPr>
              <w:fldChar w:fldCharType="separate"/>
            </w:r>
            <w:r>
              <w:rPr>
                <w:noProof/>
                <w:webHidden/>
              </w:rPr>
              <w:fldChar w:fldCharType="end"/>
            </w:r>
          </w:hyperlink>
        </w:p>
        <w:p w14:paraId="38B2CC64" w14:textId="77777777" w:rsidR="0068180E" w:rsidRDefault="00DA3B3A">
          <w:pPr>
            <w:pStyle w:val="TOC2"/>
            <w:tabs>
              <w:tab w:val="right" w:leader="dot" w:pos="9016"/>
            </w:tabs>
            <w:rPr>
              <w:noProof/>
            </w:rPr>
          </w:pPr>
          <w:hyperlink w:anchor="_Toc1637625179105" w:history="1">
            <w:r>
              <w:rPr>
                <w:rStyle w:val="Hyperlink"/>
                <w:noProof/>
              </w:rPr>
              <w:t>Days on market (DOM)</w:t>
            </w:r>
            <w:r>
              <w:rPr>
                <w:noProof/>
                <w:webHidden/>
              </w:rPr>
              <w:tab/>
            </w:r>
            <w:r>
              <w:rPr>
                <w:noProof/>
                <w:webHidden/>
              </w:rPr>
              <w:fldChar w:fldCharType="begin"/>
            </w:r>
            <w:r>
              <w:rPr>
                <w:noProof/>
                <w:webHidden/>
              </w:rPr>
              <w:instrText xml:space="preserve"> PAGEREF _Toc1637625179105 h </w:instrText>
            </w:r>
            <w:r>
              <w:rPr>
                <w:noProof/>
                <w:webHidden/>
              </w:rPr>
              <w:fldChar w:fldCharType="separate"/>
            </w:r>
            <w:r>
              <w:rPr>
                <w:noProof/>
                <w:webHidden/>
              </w:rPr>
              <w:fldChar w:fldCharType="end"/>
            </w:r>
          </w:hyperlink>
        </w:p>
        <w:p w14:paraId="3E57FD42" w14:textId="77777777" w:rsidR="0068180E" w:rsidRDefault="00DA3B3A">
          <w:pPr>
            <w:pStyle w:val="TOC2"/>
            <w:tabs>
              <w:tab w:val="right" w:leader="dot" w:pos="9016"/>
            </w:tabs>
            <w:rPr>
              <w:noProof/>
            </w:rPr>
          </w:pPr>
          <w:hyperlink w:anchor="_Toc1637625179106" w:history="1">
            <w:r>
              <w:rPr>
                <w:rStyle w:val="Hyperlink"/>
                <w:noProof/>
              </w:rPr>
              <w:t>Avg vendor discount (DISCOUN</w:t>
            </w:r>
            <w:r>
              <w:rPr>
                <w:rStyle w:val="Hyperlink"/>
                <w:noProof/>
              </w:rPr>
              <w:t>T)</w:t>
            </w:r>
            <w:r>
              <w:rPr>
                <w:noProof/>
                <w:webHidden/>
              </w:rPr>
              <w:tab/>
            </w:r>
            <w:r>
              <w:rPr>
                <w:noProof/>
                <w:webHidden/>
              </w:rPr>
              <w:fldChar w:fldCharType="begin"/>
            </w:r>
            <w:r>
              <w:rPr>
                <w:noProof/>
                <w:webHidden/>
              </w:rPr>
              <w:instrText xml:space="preserve"> PAGEREF _Toc1637625179106 h </w:instrText>
            </w:r>
            <w:r>
              <w:rPr>
                <w:noProof/>
                <w:webHidden/>
              </w:rPr>
              <w:fldChar w:fldCharType="separate"/>
            </w:r>
            <w:r>
              <w:rPr>
                <w:noProof/>
                <w:webHidden/>
              </w:rPr>
              <w:fldChar w:fldCharType="end"/>
            </w:r>
          </w:hyperlink>
        </w:p>
        <w:p w14:paraId="509B9A27" w14:textId="77777777" w:rsidR="0068180E" w:rsidRDefault="00DA3B3A">
          <w:pPr>
            <w:pStyle w:val="TOC2"/>
            <w:tabs>
              <w:tab w:val="right" w:leader="dot" w:pos="9016"/>
            </w:tabs>
            <w:rPr>
              <w:noProof/>
            </w:rPr>
          </w:pPr>
          <w:hyperlink w:anchor="_Toc1637625179107" w:history="1">
            <w:r>
              <w:rPr>
                <w:rStyle w:val="Hyperlink"/>
                <w:noProof/>
              </w:rPr>
              <w:t>Auction clearance rate (ACR)</w:t>
            </w:r>
            <w:r>
              <w:rPr>
                <w:noProof/>
                <w:webHidden/>
              </w:rPr>
              <w:tab/>
            </w:r>
            <w:r>
              <w:rPr>
                <w:noProof/>
                <w:webHidden/>
              </w:rPr>
              <w:fldChar w:fldCharType="begin"/>
            </w:r>
            <w:r>
              <w:rPr>
                <w:noProof/>
                <w:webHidden/>
              </w:rPr>
              <w:instrText xml:space="preserve"> PAGEREF _Toc1637625179107 h </w:instrText>
            </w:r>
            <w:r>
              <w:rPr>
                <w:noProof/>
                <w:webHidden/>
              </w:rPr>
              <w:fldChar w:fldCharType="separate"/>
            </w:r>
            <w:r>
              <w:rPr>
                <w:noProof/>
                <w:webHidden/>
              </w:rPr>
              <w:fldChar w:fldCharType="end"/>
            </w:r>
          </w:hyperlink>
        </w:p>
        <w:p w14:paraId="7C75A773" w14:textId="77777777" w:rsidR="0068180E" w:rsidRDefault="00DA3B3A">
          <w:pPr>
            <w:pStyle w:val="TOC2"/>
            <w:tabs>
              <w:tab w:val="right" w:leader="dot" w:pos="9016"/>
            </w:tabs>
            <w:rPr>
              <w:noProof/>
            </w:rPr>
          </w:pPr>
          <w:hyperlink w:anchor="_Toc1637625179108" w:history="1">
            <w:r>
              <w:rPr>
                <w:rStyle w:val="Hyperlink"/>
                <w:noProof/>
              </w:rPr>
              <w:t>Percent renters in market (RENTERS)</w:t>
            </w:r>
            <w:r>
              <w:rPr>
                <w:noProof/>
                <w:webHidden/>
              </w:rPr>
              <w:tab/>
            </w:r>
            <w:r>
              <w:rPr>
                <w:noProof/>
                <w:webHidden/>
              </w:rPr>
              <w:fldChar w:fldCharType="begin"/>
            </w:r>
            <w:r>
              <w:rPr>
                <w:noProof/>
                <w:webHidden/>
              </w:rPr>
              <w:instrText xml:space="preserve"> PAGEREF _Toc1637625179108 h </w:instrText>
            </w:r>
            <w:r>
              <w:rPr>
                <w:noProof/>
                <w:webHidden/>
              </w:rPr>
              <w:fldChar w:fldCharType="separate"/>
            </w:r>
            <w:r>
              <w:rPr>
                <w:noProof/>
                <w:webHidden/>
              </w:rPr>
              <w:fldChar w:fldCharType="end"/>
            </w:r>
          </w:hyperlink>
        </w:p>
        <w:p w14:paraId="48A5EC73" w14:textId="77777777" w:rsidR="0068180E" w:rsidRDefault="00DA3B3A">
          <w:pPr>
            <w:pStyle w:val="TOC2"/>
            <w:tabs>
              <w:tab w:val="right" w:leader="dot" w:pos="9016"/>
            </w:tabs>
            <w:rPr>
              <w:noProof/>
            </w:rPr>
          </w:pPr>
          <w:hyperlink w:anchor="_Toc1637625179109" w:history="1">
            <w:r>
              <w:rPr>
                <w:rStyle w:val="Hyperlink"/>
                <w:noProof/>
              </w:rPr>
              <w:t>Vacancy rate (VACANCY)</w:t>
            </w:r>
            <w:r>
              <w:rPr>
                <w:noProof/>
                <w:webHidden/>
              </w:rPr>
              <w:tab/>
            </w:r>
            <w:r>
              <w:rPr>
                <w:noProof/>
                <w:webHidden/>
              </w:rPr>
              <w:fldChar w:fldCharType="begin"/>
            </w:r>
            <w:r>
              <w:rPr>
                <w:noProof/>
                <w:webHidden/>
              </w:rPr>
              <w:instrText xml:space="preserve"> PAGEREF _Toc1637625179109 h </w:instrText>
            </w:r>
            <w:r>
              <w:rPr>
                <w:noProof/>
                <w:webHidden/>
              </w:rPr>
              <w:fldChar w:fldCharType="separate"/>
            </w:r>
            <w:r>
              <w:rPr>
                <w:noProof/>
                <w:webHidden/>
              </w:rPr>
              <w:fldChar w:fldCharType="end"/>
            </w:r>
          </w:hyperlink>
        </w:p>
        <w:p w14:paraId="206CD36B" w14:textId="77777777" w:rsidR="0068180E" w:rsidRDefault="00DA3B3A">
          <w:pPr>
            <w:pStyle w:val="TOC2"/>
            <w:tabs>
              <w:tab w:val="right" w:leader="dot" w:pos="9016"/>
            </w:tabs>
            <w:rPr>
              <w:noProof/>
            </w:rPr>
          </w:pPr>
          <w:hyperlink w:anchor="_Toc1637625179110" w:history="1">
            <w:r>
              <w:rPr>
                <w:rStyle w:val="Hyperlink"/>
                <w:noProof/>
              </w:rPr>
              <w:t>Gross rental yield (YIELD)</w:t>
            </w:r>
            <w:r>
              <w:rPr>
                <w:noProof/>
                <w:webHidden/>
              </w:rPr>
              <w:tab/>
            </w:r>
            <w:r>
              <w:rPr>
                <w:noProof/>
                <w:webHidden/>
              </w:rPr>
              <w:fldChar w:fldCharType="begin"/>
            </w:r>
            <w:r>
              <w:rPr>
                <w:noProof/>
                <w:webHidden/>
              </w:rPr>
              <w:instrText xml:space="preserve"> PAGEREF _Toc1637625179110 h </w:instrText>
            </w:r>
            <w:r>
              <w:rPr>
                <w:noProof/>
                <w:webHidden/>
              </w:rPr>
              <w:fldChar w:fldCharType="separate"/>
            </w:r>
            <w:r>
              <w:rPr>
                <w:noProof/>
                <w:webHidden/>
              </w:rPr>
              <w:fldChar w:fldCharType="end"/>
            </w:r>
          </w:hyperlink>
        </w:p>
        <w:p w14:paraId="09F768F8" w14:textId="77777777" w:rsidR="0068180E" w:rsidRDefault="00DA3B3A">
          <w:pPr>
            <w:pStyle w:val="TOC2"/>
            <w:tabs>
              <w:tab w:val="right" w:leader="dot" w:pos="9016"/>
            </w:tabs>
            <w:rPr>
              <w:noProof/>
            </w:rPr>
          </w:pPr>
          <w:hyperlink w:anchor="_Toc1637625179111" w:history="1">
            <w:r>
              <w:rPr>
                <w:rStyle w:val="Hyperlink"/>
                <w:noProof/>
              </w:rPr>
              <w:t>Percent stock on market (SOM%)</w:t>
            </w:r>
            <w:r>
              <w:rPr>
                <w:noProof/>
                <w:webHidden/>
              </w:rPr>
              <w:tab/>
            </w:r>
            <w:r>
              <w:rPr>
                <w:noProof/>
                <w:webHidden/>
              </w:rPr>
              <w:fldChar w:fldCharType="begin"/>
            </w:r>
            <w:r>
              <w:rPr>
                <w:noProof/>
                <w:webHidden/>
              </w:rPr>
              <w:instrText xml:space="preserve"> PAGEREF _Toc1637625179111 h </w:instrText>
            </w:r>
            <w:r>
              <w:rPr>
                <w:noProof/>
                <w:webHidden/>
              </w:rPr>
              <w:fldChar w:fldCharType="separate"/>
            </w:r>
            <w:r>
              <w:rPr>
                <w:noProof/>
                <w:webHidden/>
              </w:rPr>
              <w:fldChar w:fldCharType="end"/>
            </w:r>
          </w:hyperlink>
        </w:p>
        <w:p w14:paraId="7382B54D" w14:textId="77777777" w:rsidR="0068180E" w:rsidRDefault="00DA3B3A">
          <w:pPr>
            <w:pStyle w:val="TOC2"/>
            <w:tabs>
              <w:tab w:val="right" w:leader="dot" w:pos="9016"/>
            </w:tabs>
            <w:rPr>
              <w:noProof/>
            </w:rPr>
          </w:pPr>
          <w:hyperlink w:anchor="_Toc1637625179112" w:history="1">
            <w:r>
              <w:rPr>
                <w:rStyle w:val="Hyperlink"/>
                <w:noProof/>
              </w:rPr>
              <w:t>Online search interest (OSI)</w:t>
            </w:r>
            <w:r>
              <w:rPr>
                <w:noProof/>
                <w:webHidden/>
              </w:rPr>
              <w:tab/>
            </w:r>
            <w:r>
              <w:rPr>
                <w:noProof/>
                <w:webHidden/>
              </w:rPr>
              <w:fldChar w:fldCharType="begin"/>
            </w:r>
            <w:r>
              <w:rPr>
                <w:noProof/>
                <w:webHidden/>
              </w:rPr>
              <w:instrText xml:space="preserve"> PAGEREF _Toc1637625179112 h </w:instrText>
            </w:r>
            <w:r>
              <w:rPr>
                <w:noProof/>
                <w:webHidden/>
              </w:rPr>
              <w:fldChar w:fldCharType="separate"/>
            </w:r>
            <w:r>
              <w:rPr>
                <w:noProof/>
                <w:webHidden/>
              </w:rPr>
              <w:fldChar w:fldCharType="end"/>
            </w:r>
          </w:hyperlink>
        </w:p>
        <w:p w14:paraId="7872488D" w14:textId="77777777" w:rsidR="0068180E" w:rsidRDefault="00DA3B3A">
          <w:pPr>
            <w:pStyle w:val="TOC2"/>
            <w:tabs>
              <w:tab w:val="right" w:leader="dot" w:pos="9016"/>
            </w:tabs>
            <w:rPr>
              <w:noProof/>
            </w:rPr>
          </w:pPr>
          <w:hyperlink w:anchor="_Toc1637625179113" w:history="1">
            <w:r>
              <w:rPr>
                <w:rStyle w:val="Hyperlink"/>
                <w:noProof/>
              </w:rPr>
              <w:t>Market cycle timing (MCT)</w:t>
            </w:r>
            <w:r>
              <w:rPr>
                <w:noProof/>
                <w:webHidden/>
              </w:rPr>
              <w:tab/>
            </w:r>
            <w:r>
              <w:rPr>
                <w:noProof/>
                <w:webHidden/>
              </w:rPr>
              <w:fldChar w:fldCharType="begin"/>
            </w:r>
            <w:r>
              <w:rPr>
                <w:noProof/>
                <w:webHidden/>
              </w:rPr>
              <w:instrText xml:space="preserve"> PAGEREF _Toc1637625179113 h </w:instrText>
            </w:r>
            <w:r>
              <w:rPr>
                <w:noProof/>
                <w:webHidden/>
              </w:rPr>
              <w:fldChar w:fldCharType="separate"/>
            </w:r>
            <w:r>
              <w:rPr>
                <w:noProof/>
                <w:webHidden/>
              </w:rPr>
              <w:fldChar w:fldCharType="end"/>
            </w:r>
          </w:hyperlink>
        </w:p>
        <w:p w14:paraId="5356338C" w14:textId="77777777" w:rsidR="0068180E" w:rsidRDefault="00DA3B3A">
          <w:pPr>
            <w:pStyle w:val="TOC2"/>
            <w:tabs>
              <w:tab w:val="right" w:leader="dot" w:pos="9016"/>
            </w:tabs>
            <w:rPr>
              <w:noProof/>
            </w:rPr>
          </w:pPr>
          <w:hyperlink w:anchor="_Toc1637625179114" w:history="1">
            <w:r>
              <w:rPr>
                <w:rStyle w:val="Hyperlink"/>
                <w:noProof/>
              </w:rPr>
              <w:t>Neighbour price balancing (NPB)</w:t>
            </w:r>
            <w:r>
              <w:rPr>
                <w:noProof/>
                <w:webHidden/>
              </w:rPr>
              <w:tab/>
            </w:r>
            <w:r>
              <w:rPr>
                <w:noProof/>
                <w:webHidden/>
              </w:rPr>
              <w:fldChar w:fldCharType="begin"/>
            </w:r>
            <w:r>
              <w:rPr>
                <w:noProof/>
                <w:webHidden/>
              </w:rPr>
              <w:instrText xml:space="preserve"> PAGEREF _Toc1637625179114 h </w:instrText>
            </w:r>
            <w:r>
              <w:rPr>
                <w:noProof/>
                <w:webHidden/>
              </w:rPr>
              <w:fldChar w:fldCharType="separate"/>
            </w:r>
            <w:r>
              <w:rPr>
                <w:noProof/>
                <w:webHidden/>
              </w:rPr>
              <w:fldChar w:fldCharType="end"/>
            </w:r>
          </w:hyperlink>
        </w:p>
        <w:p w14:paraId="2D04521C" w14:textId="77777777" w:rsidR="0068180E" w:rsidRDefault="00DA3B3A">
          <w:pPr>
            <w:pStyle w:val="TOC2"/>
            <w:tabs>
              <w:tab w:val="right" w:leader="dot" w:pos="9016"/>
            </w:tabs>
            <w:rPr>
              <w:noProof/>
            </w:rPr>
          </w:pPr>
          <w:hyperlink w:anchor="_Toc1637625179115" w:history="1">
            <w:r>
              <w:rPr>
                <w:rStyle w:val="Hyperlink"/>
                <w:noProof/>
              </w:rPr>
              <w:t>Ripple effect potential (REP)</w:t>
            </w:r>
            <w:r>
              <w:rPr>
                <w:noProof/>
                <w:webHidden/>
              </w:rPr>
              <w:tab/>
            </w:r>
            <w:r>
              <w:rPr>
                <w:noProof/>
                <w:webHidden/>
              </w:rPr>
              <w:fldChar w:fldCharType="begin"/>
            </w:r>
            <w:r>
              <w:rPr>
                <w:noProof/>
                <w:webHidden/>
              </w:rPr>
              <w:instrText xml:space="preserve"> PAGEREF _Toc1637625179115 h </w:instrText>
            </w:r>
            <w:r>
              <w:rPr>
                <w:noProof/>
                <w:webHidden/>
              </w:rPr>
              <w:fldChar w:fldCharType="separate"/>
            </w:r>
            <w:r>
              <w:rPr>
                <w:noProof/>
                <w:webHidden/>
              </w:rPr>
              <w:fldChar w:fldCharType="end"/>
            </w:r>
          </w:hyperlink>
        </w:p>
        <w:p w14:paraId="19CEC441" w14:textId="77777777" w:rsidR="0068180E" w:rsidRDefault="00DA3B3A">
          <w:pPr>
            <w:pStyle w:val="TOC2"/>
            <w:tabs>
              <w:tab w:val="right" w:leader="dot" w:pos="9016"/>
            </w:tabs>
            <w:rPr>
              <w:noProof/>
            </w:rPr>
          </w:pPr>
          <w:hyperlink w:anchor="_Toc1637625179116" w:history="1">
            <w:r>
              <w:rPr>
                <w:rStyle w:val="Hyperlink"/>
                <w:noProof/>
              </w:rPr>
              <w:t>Unit to house value</w:t>
            </w:r>
            <w:r>
              <w:rPr>
                <w:rStyle w:val="Hyperlink"/>
                <w:noProof/>
              </w:rPr>
              <w:t xml:space="preserve"> (U2H)</w:t>
            </w:r>
            <w:r>
              <w:rPr>
                <w:noProof/>
                <w:webHidden/>
              </w:rPr>
              <w:tab/>
            </w:r>
            <w:r>
              <w:rPr>
                <w:noProof/>
                <w:webHidden/>
              </w:rPr>
              <w:fldChar w:fldCharType="begin"/>
            </w:r>
            <w:r>
              <w:rPr>
                <w:noProof/>
                <w:webHidden/>
              </w:rPr>
              <w:instrText xml:space="preserve"> PAGEREF _Toc1637625179116 h </w:instrText>
            </w:r>
            <w:r>
              <w:rPr>
                <w:noProof/>
                <w:webHidden/>
              </w:rPr>
              <w:fldChar w:fldCharType="separate"/>
            </w:r>
            <w:r>
              <w:rPr>
                <w:noProof/>
                <w:webHidden/>
              </w:rPr>
              <w:fldChar w:fldCharType="end"/>
            </w:r>
          </w:hyperlink>
        </w:p>
        <w:p w14:paraId="2C4BC16A" w14:textId="77777777" w:rsidR="0068180E" w:rsidRDefault="00DA3B3A">
          <w:pPr>
            <w:pStyle w:val="TOC2"/>
            <w:tabs>
              <w:tab w:val="right" w:leader="dot" w:pos="9016"/>
            </w:tabs>
            <w:rPr>
              <w:noProof/>
            </w:rPr>
          </w:pPr>
          <w:hyperlink w:anchor="_Toc1637625179117" w:history="1">
            <w:r>
              <w:rPr>
                <w:rStyle w:val="Hyperlink"/>
                <w:noProof/>
              </w:rPr>
              <w:t>Long term growth (LTG)</w:t>
            </w:r>
            <w:r>
              <w:rPr>
                <w:noProof/>
                <w:webHidden/>
              </w:rPr>
              <w:tab/>
            </w:r>
            <w:r>
              <w:rPr>
                <w:noProof/>
                <w:webHidden/>
              </w:rPr>
              <w:fldChar w:fldCharType="begin"/>
            </w:r>
            <w:r>
              <w:rPr>
                <w:noProof/>
                <w:webHidden/>
              </w:rPr>
              <w:instrText xml:space="preserve"> PAGEREF _Toc1637625179117 h </w:instrText>
            </w:r>
            <w:r>
              <w:rPr>
                <w:noProof/>
                <w:webHidden/>
              </w:rPr>
              <w:fldChar w:fldCharType="separate"/>
            </w:r>
            <w:r>
              <w:rPr>
                <w:noProof/>
                <w:webHidden/>
              </w:rPr>
              <w:fldChar w:fldCharType="end"/>
            </w:r>
          </w:hyperlink>
        </w:p>
        <w:p w14:paraId="7147C424" w14:textId="77777777" w:rsidR="0068180E" w:rsidRDefault="00DA3B3A">
          <w:pPr>
            <w:pStyle w:val="TOC2"/>
            <w:tabs>
              <w:tab w:val="right" w:leader="dot" w:pos="9016"/>
            </w:tabs>
            <w:rPr>
              <w:noProof/>
            </w:rPr>
          </w:pPr>
          <w:hyperlink w:anchor="_Toc1637625179118" w:history="1">
            <w:r>
              <w:rPr>
                <w:rStyle w:val="Hyperlink"/>
                <w:noProof/>
              </w:rPr>
              <w:t>Percentage rent growth (PRG)</w:t>
            </w:r>
            <w:r>
              <w:rPr>
                <w:noProof/>
                <w:webHidden/>
              </w:rPr>
              <w:tab/>
            </w:r>
            <w:r>
              <w:rPr>
                <w:noProof/>
                <w:webHidden/>
              </w:rPr>
              <w:fldChar w:fldCharType="begin"/>
            </w:r>
            <w:r>
              <w:rPr>
                <w:noProof/>
                <w:webHidden/>
              </w:rPr>
              <w:instrText xml:space="preserve"> PAGEREF _Toc1637625179118 h </w:instrText>
            </w:r>
            <w:r>
              <w:rPr>
                <w:noProof/>
                <w:webHidden/>
              </w:rPr>
              <w:fldChar w:fldCharType="separate"/>
            </w:r>
            <w:r>
              <w:rPr>
                <w:noProof/>
                <w:webHidden/>
              </w:rPr>
              <w:fldChar w:fldCharType="end"/>
            </w:r>
          </w:hyperlink>
        </w:p>
        <w:p w14:paraId="693C819A" w14:textId="77777777" w:rsidR="0068180E" w:rsidRDefault="00DA3B3A">
          <w:pPr>
            <w:pStyle w:val="TOC2"/>
            <w:tabs>
              <w:tab w:val="right" w:leader="dot" w:pos="9016"/>
            </w:tabs>
            <w:rPr>
              <w:noProof/>
            </w:rPr>
          </w:pPr>
          <w:hyperlink w:anchor="_Toc1637625179119" w:history="1">
            <w:r>
              <w:rPr>
                <w:rStyle w:val="Hyperlink"/>
                <w:noProof/>
              </w:rPr>
              <w:t>Percentage sales growth (PSG)</w:t>
            </w:r>
            <w:r>
              <w:rPr>
                <w:noProof/>
                <w:webHidden/>
              </w:rPr>
              <w:tab/>
            </w:r>
            <w:r>
              <w:rPr>
                <w:noProof/>
                <w:webHidden/>
              </w:rPr>
              <w:fldChar w:fldCharType="begin"/>
            </w:r>
            <w:r>
              <w:rPr>
                <w:noProof/>
                <w:webHidden/>
              </w:rPr>
              <w:instrText xml:space="preserve"> PAGEREF _Toc1637625179119 h </w:instrText>
            </w:r>
            <w:r>
              <w:rPr>
                <w:noProof/>
                <w:webHidden/>
              </w:rPr>
              <w:fldChar w:fldCharType="separate"/>
            </w:r>
            <w:r>
              <w:rPr>
                <w:noProof/>
                <w:webHidden/>
              </w:rPr>
              <w:fldChar w:fldCharType="end"/>
            </w:r>
          </w:hyperlink>
        </w:p>
        <w:p w14:paraId="5144D9C5" w14:textId="77777777" w:rsidR="0068180E" w:rsidRDefault="00DA3B3A">
          <w:pPr>
            <w:pStyle w:val="TOC2"/>
            <w:tabs>
              <w:tab w:val="right" w:leader="dot" w:pos="9016"/>
            </w:tabs>
            <w:rPr>
              <w:noProof/>
            </w:rPr>
          </w:pPr>
          <w:hyperlink w:anchor="_Toc1637625179120" w:history="1">
            <w:r>
              <w:rPr>
                <w:rStyle w:val="Hyperlink"/>
                <w:noProof/>
              </w:rPr>
              <w:t>Percent sales by auction (SBA%)</w:t>
            </w:r>
            <w:r>
              <w:rPr>
                <w:noProof/>
                <w:webHidden/>
              </w:rPr>
              <w:tab/>
            </w:r>
            <w:r>
              <w:rPr>
                <w:noProof/>
                <w:webHidden/>
              </w:rPr>
              <w:fldChar w:fldCharType="begin"/>
            </w:r>
            <w:r>
              <w:rPr>
                <w:noProof/>
                <w:webHidden/>
              </w:rPr>
              <w:instrText xml:space="preserve"> PAGEREF _Toc1637625179120 h </w:instrText>
            </w:r>
            <w:r>
              <w:rPr>
                <w:noProof/>
                <w:webHidden/>
              </w:rPr>
              <w:fldChar w:fldCharType="separate"/>
            </w:r>
            <w:r>
              <w:rPr>
                <w:noProof/>
                <w:webHidden/>
              </w:rPr>
              <w:fldChar w:fldCharType="end"/>
            </w:r>
          </w:hyperlink>
        </w:p>
        <w:p w14:paraId="596338D3" w14:textId="77777777" w:rsidR="0068180E" w:rsidRDefault="00DA3B3A">
          <w:pPr>
            <w:pStyle w:val="TOC2"/>
            <w:tabs>
              <w:tab w:val="right" w:leader="dot" w:pos="9016"/>
            </w:tabs>
            <w:rPr>
              <w:noProof/>
            </w:rPr>
          </w:pPr>
          <w:hyperlink w:anchor="_Toc1637625179121" w:history="1">
            <w:r>
              <w:rPr>
                <w:rStyle w:val="Hyperlink"/>
                <w:noProof/>
              </w:rPr>
              <w:t>Percent open for inspection (OFI%)</w:t>
            </w:r>
            <w:r>
              <w:rPr>
                <w:noProof/>
                <w:webHidden/>
              </w:rPr>
              <w:tab/>
            </w:r>
            <w:r>
              <w:rPr>
                <w:noProof/>
                <w:webHidden/>
              </w:rPr>
              <w:fldChar w:fldCharType="begin"/>
            </w:r>
            <w:r>
              <w:rPr>
                <w:noProof/>
                <w:webHidden/>
              </w:rPr>
              <w:instrText xml:space="preserve"> PAGER</w:instrText>
            </w:r>
            <w:r>
              <w:rPr>
                <w:noProof/>
                <w:webHidden/>
              </w:rPr>
              <w:instrText xml:space="preserve">EF _Toc1637625179121 h </w:instrText>
            </w:r>
            <w:r>
              <w:rPr>
                <w:noProof/>
                <w:webHidden/>
              </w:rPr>
              <w:fldChar w:fldCharType="separate"/>
            </w:r>
            <w:r>
              <w:rPr>
                <w:noProof/>
                <w:webHidden/>
              </w:rPr>
              <w:fldChar w:fldCharType="end"/>
            </w:r>
          </w:hyperlink>
        </w:p>
        <w:p w14:paraId="4E87E3D3" w14:textId="77777777" w:rsidR="0068180E" w:rsidRDefault="00DA3B3A">
          <w:pPr>
            <w:pStyle w:val="TOC2"/>
            <w:tabs>
              <w:tab w:val="right" w:leader="dot" w:pos="9016"/>
            </w:tabs>
            <w:rPr>
              <w:noProof/>
            </w:rPr>
          </w:pPr>
          <w:hyperlink w:anchor="_Toc1637625179122" w:history="1">
            <w:r>
              <w:rPr>
                <w:rStyle w:val="Hyperlink"/>
                <w:noProof/>
              </w:rPr>
              <w:t>Statistics Summary</w:t>
            </w:r>
            <w:r>
              <w:rPr>
                <w:noProof/>
                <w:webHidden/>
              </w:rPr>
              <w:tab/>
            </w:r>
            <w:r>
              <w:rPr>
                <w:noProof/>
                <w:webHidden/>
              </w:rPr>
              <w:fldChar w:fldCharType="begin"/>
            </w:r>
            <w:r>
              <w:rPr>
                <w:noProof/>
                <w:webHidden/>
              </w:rPr>
              <w:instrText xml:space="preserve"> PAGEREF _Toc1637625179122 h </w:instrText>
            </w:r>
            <w:r>
              <w:rPr>
                <w:noProof/>
                <w:webHidden/>
              </w:rPr>
              <w:fldChar w:fldCharType="separate"/>
            </w:r>
            <w:r>
              <w:rPr>
                <w:noProof/>
                <w:webHidden/>
              </w:rPr>
              <w:fldChar w:fldCharType="end"/>
            </w:r>
          </w:hyperlink>
        </w:p>
        <w:p w14:paraId="4E3BE214" w14:textId="77777777" w:rsidR="0068180E" w:rsidRDefault="00DA3B3A">
          <w:pPr>
            <w:pStyle w:val="TOC2"/>
            <w:tabs>
              <w:tab w:val="right" w:leader="dot" w:pos="9016"/>
            </w:tabs>
            <w:rPr>
              <w:noProof/>
            </w:rPr>
          </w:pPr>
          <w:hyperlink w:anchor="_Toc1637625179123" w:history="1">
            <w:r>
              <w:rPr>
                <w:rStyle w:val="Hyperlink"/>
                <w:noProof/>
              </w:rPr>
              <w:t>Strengths and Weaknesses</w:t>
            </w:r>
            <w:r>
              <w:rPr>
                <w:noProof/>
                <w:webHidden/>
              </w:rPr>
              <w:tab/>
            </w:r>
            <w:r>
              <w:rPr>
                <w:noProof/>
                <w:webHidden/>
              </w:rPr>
              <w:fldChar w:fldCharType="begin"/>
            </w:r>
            <w:r>
              <w:rPr>
                <w:noProof/>
                <w:webHidden/>
              </w:rPr>
              <w:instrText xml:space="preserve"> PAGEREF _Toc1637625179123 h </w:instrText>
            </w:r>
            <w:r>
              <w:rPr>
                <w:noProof/>
                <w:webHidden/>
              </w:rPr>
              <w:fldChar w:fldCharType="separate"/>
            </w:r>
            <w:r>
              <w:rPr>
                <w:noProof/>
                <w:webHidden/>
              </w:rPr>
              <w:fldChar w:fldCharType="end"/>
            </w:r>
          </w:hyperlink>
        </w:p>
        <w:p w14:paraId="6A5CFD98" w14:textId="77777777" w:rsidR="0068180E" w:rsidRDefault="00DA3B3A">
          <w:pPr>
            <w:pStyle w:val="TOC2"/>
            <w:tabs>
              <w:tab w:val="right" w:leader="dot" w:pos="9016"/>
            </w:tabs>
            <w:rPr>
              <w:noProof/>
            </w:rPr>
          </w:pPr>
          <w:hyperlink w:anchor="_Toc1637625179124" w:history="1">
            <w:r>
              <w:rPr>
                <w:rStyle w:val="Hyperlink"/>
                <w:noProof/>
              </w:rPr>
              <w:t>Growth forecast</w:t>
            </w:r>
            <w:r>
              <w:rPr>
                <w:noProof/>
                <w:webHidden/>
              </w:rPr>
              <w:tab/>
            </w:r>
            <w:r>
              <w:rPr>
                <w:noProof/>
                <w:webHidden/>
              </w:rPr>
              <w:fldChar w:fldCharType="begin"/>
            </w:r>
            <w:r>
              <w:rPr>
                <w:noProof/>
                <w:webHidden/>
              </w:rPr>
              <w:instrText xml:space="preserve"> PAGEREF _Toc1637625179124 h </w:instrText>
            </w:r>
            <w:r>
              <w:rPr>
                <w:noProof/>
                <w:webHidden/>
              </w:rPr>
              <w:fldChar w:fldCharType="separate"/>
            </w:r>
            <w:r>
              <w:rPr>
                <w:noProof/>
                <w:webHidden/>
              </w:rPr>
              <w:fldChar w:fldCharType="end"/>
            </w:r>
          </w:hyperlink>
        </w:p>
        <w:p w14:paraId="0C799261" w14:textId="77777777" w:rsidR="0068180E" w:rsidRDefault="00DA3B3A">
          <w:pPr>
            <w:pStyle w:val="TOC2"/>
            <w:tabs>
              <w:tab w:val="right" w:leader="dot" w:pos="9016"/>
            </w:tabs>
            <w:rPr>
              <w:noProof/>
            </w:rPr>
          </w:pPr>
          <w:hyperlink w:anchor="_Toc1637625179125" w:history="1">
            <w:r>
              <w:rPr>
                <w:rStyle w:val="Hyperlink"/>
                <w:noProof/>
              </w:rPr>
              <w:t>More resources</w:t>
            </w:r>
            <w:r>
              <w:rPr>
                <w:noProof/>
                <w:webHidden/>
              </w:rPr>
              <w:tab/>
            </w:r>
            <w:r>
              <w:rPr>
                <w:noProof/>
                <w:webHidden/>
              </w:rPr>
              <w:fldChar w:fldCharType="begin"/>
            </w:r>
            <w:r>
              <w:rPr>
                <w:noProof/>
                <w:webHidden/>
              </w:rPr>
              <w:instrText xml:space="preserve"> PAGEREF _Toc1637625179125 h </w:instrText>
            </w:r>
            <w:r>
              <w:rPr>
                <w:noProof/>
                <w:webHidden/>
              </w:rPr>
              <w:fldChar w:fldCharType="separate"/>
            </w:r>
            <w:r>
              <w:rPr>
                <w:noProof/>
                <w:webHidden/>
              </w:rPr>
              <w:fldChar w:fldCharType="end"/>
            </w:r>
          </w:hyperlink>
        </w:p>
        <w:p w14:paraId="2EF144C4" w14:textId="77777777" w:rsidR="0068180E" w:rsidRDefault="00DA3B3A">
          <w:pPr>
            <w:pStyle w:val="TOC2"/>
            <w:tabs>
              <w:tab w:val="right" w:leader="dot" w:pos="9016"/>
            </w:tabs>
            <w:rPr>
              <w:noProof/>
            </w:rPr>
          </w:pPr>
          <w:hyperlink w:anchor="_Toc1637625179126" w:history="1">
            <w:r>
              <w:rPr>
                <w:rStyle w:val="Hyperlink"/>
                <w:noProof/>
              </w:rPr>
              <w:t>Report Disclaimer</w:t>
            </w:r>
            <w:r>
              <w:rPr>
                <w:noProof/>
                <w:webHidden/>
              </w:rPr>
              <w:tab/>
            </w:r>
            <w:r>
              <w:rPr>
                <w:noProof/>
                <w:webHidden/>
              </w:rPr>
              <w:fldChar w:fldCharType="begin"/>
            </w:r>
            <w:r>
              <w:rPr>
                <w:noProof/>
                <w:webHidden/>
              </w:rPr>
              <w:instrText xml:space="preserve"> PAGEREF _Toc1637625179126 h </w:instrText>
            </w:r>
            <w:r>
              <w:rPr>
                <w:noProof/>
                <w:webHidden/>
              </w:rPr>
              <w:fldChar w:fldCharType="separate"/>
            </w:r>
            <w:r>
              <w:rPr>
                <w:noProof/>
                <w:webHidden/>
              </w:rPr>
              <w:fldChar w:fldCharType="end"/>
            </w:r>
          </w:hyperlink>
        </w:p>
        <w:p w14:paraId="78E7EF83" w14:textId="77777777" w:rsidR="0068180E" w:rsidRDefault="00DA3B3A">
          <w:r>
            <w:rPr>
              <w:b/>
              <w:bCs/>
              <w:noProof/>
            </w:rPr>
            <w:fldChar w:fldCharType="end"/>
          </w:r>
        </w:p>
      </w:sdtContent>
    </w:sdt>
    <w:p w14:paraId="74DC6C66" w14:textId="77777777" w:rsidR="00267E0D" w:rsidRDefault="00267E0D" w:rsidP="004C5F58">
      <w:pPr>
        <w:spacing w:after="60" w:line="240" w:lineRule="auto"/>
        <w:rPr>
          <w:b/>
          <w:bCs/>
          <w:sz w:val="20"/>
          <w:szCs w:val="20"/>
        </w:rPr>
      </w:pPr>
      <w:r>
        <w:rPr>
          <w:b/>
          <w:bCs/>
          <w:sz w:val="20"/>
          <w:szCs w:val="20"/>
        </w:rPr>
        <w:br w:type="page"/>
      </w:r>
    </w:p>
    <w:p w14:paraId="47376FFA" w14:textId="77777777" w:rsidR="00267E0D" w:rsidRDefault="00267E0D" w:rsidP="00267E0D">
      <w:pPr>
        <w:pStyle w:val="Heading2"/>
      </w:pPr>
      <w:bookmarkStart w:id="2" w:name="_Toc1637625179097"/>
      <w:r>
        <w:lastRenderedPageBreak/>
        <w:t>Introduction</w:t>
      </w:r>
      <w:bookmarkEnd w:id="2"/>
    </w:p>
    <w:p w14:paraId="34CFAB74" w14:textId="77777777" w:rsidR="00267E0D" w:rsidRDefault="00D527FD" w:rsidP="00267E0D">
      <w:pPr>
        <w:pStyle w:val="BodyText"/>
        <w:spacing w:before="57" w:after="113"/>
      </w:pPr>
      <w:r>
        <w:t xml:space="preserve">This Suburb </w:t>
      </w:r>
      <w:r w:rsidR="00267E0D">
        <w:t xml:space="preserve">Report provides a great profile overview and demographic snapshot, which will help you obtain a clearer picture of the suburb and the community which lives within it. </w:t>
      </w:r>
    </w:p>
    <w:p w14:paraId="1DF14E9E" w14:textId="77777777" w:rsidR="00267E0D" w:rsidRDefault="00267E0D" w:rsidP="00267E0D">
      <w:pPr>
        <w:pStyle w:val="BodyText"/>
        <w:spacing w:before="57" w:after="113"/>
      </w:pPr>
      <w:r>
        <w:t xml:space="preserve">Building on this data, and what is even more important in this report is how we investigate and present the level of interest in terms of current property buying and selling activity, as measured by the </w:t>
      </w:r>
      <w:r w:rsidR="00D527FD">
        <w:t xml:space="preserve">Select’s </w:t>
      </w:r>
      <w:r>
        <w:t>Demand and Supply Ratio (DSR).</w:t>
      </w:r>
    </w:p>
    <w:p w14:paraId="4D61D632" w14:textId="77777777" w:rsidR="00267E0D" w:rsidRDefault="00D527FD" w:rsidP="00267E0D">
      <w:pPr>
        <w:pStyle w:val="BodyText"/>
        <w:spacing w:before="57" w:after="113"/>
      </w:pPr>
      <w:r>
        <w:t xml:space="preserve">Our </w:t>
      </w:r>
      <w:r w:rsidR="00267E0D">
        <w:t>DSR analysis will help you better understand what competitive tension you might experience when trying to buy either a house or unit within this market. It is also highly valuable in terms of assessing the potential for short term price movements that may occur when there is an imbalance between demand and supply.</w:t>
      </w:r>
    </w:p>
    <w:p w14:paraId="3D630AFD" w14:textId="77777777" w:rsidR="00267E0D" w:rsidRPr="004C5F58" w:rsidRDefault="00267E0D" w:rsidP="00D527FD">
      <w:pPr>
        <w:pStyle w:val="BodyText"/>
        <w:spacing w:before="57" w:after="113"/>
        <w:rPr>
          <w:rFonts w:asciiTheme="majorHAnsi" w:eastAsiaTheme="majorEastAsia" w:hAnsiTheme="majorHAnsi" w:cstheme="majorBidi"/>
          <w:b/>
          <w:bCs/>
          <w:color w:val="4472C4" w:themeColor="accent1"/>
          <w:sz w:val="26"/>
          <w:szCs w:val="26"/>
        </w:rPr>
      </w:pPr>
      <w:r>
        <w:t>We believe this report, and the data and insights contained within it, will provides you with a greater understanding and improved knowledge to help you make a more informed buying decision</w:t>
      </w:r>
      <w:r w:rsidR="00D527FD">
        <w:t xml:space="preserve">, when you combine it with other research and market assessment evaluation you need to conduct as part of your important due diligence process. </w:t>
      </w:r>
      <w:r w:rsidRPr="004C5F58">
        <w:rPr>
          <w:rFonts w:asciiTheme="majorHAnsi" w:eastAsiaTheme="majorEastAsia" w:hAnsiTheme="majorHAnsi" w:cstheme="majorBidi"/>
          <w:b/>
          <w:bCs/>
          <w:color w:val="4472C4" w:themeColor="accent1"/>
          <w:sz w:val="26"/>
          <w:szCs w:val="26"/>
        </w:rPr>
        <w:t>Suburb Profile</w:t>
      </w:r>
    </w:p>
    <w:p w14:paraId="1BA9690C" w14:textId="77777777" w:rsidR="00267E0D" w:rsidRDefault="00267E0D" w:rsidP="00267E0D">
      <w:r>
        <w:t>North Melbourne is an inner suburb of Melbourne, Australia, 2 km north-west of Melbourne's Central Business District. Its local government area is the City of Melbourne. At the 2016 Census, North Melbourne had a population of 14,940.</w:t>
      </w:r>
      <w:r>
        <w:br/>
        <w:t>North Melbourne is bounded by the CityLink freeway to the west, Victoria Street to the south, O'Connell and Peel Streets to the east and Flemington Road to the north. Since July 2008 its local government area has been the City of Melbourne, when it took over the administration of parts of Kensington and North Melbourne that were previously under the City of Moonee Valley, resulting in an increase of approximately 4760 residents and almost 3000 workers (2006 Census).</w:t>
      </w:r>
      <w:r>
        <w:br/>
        <w:t>Formerly known as Hotham, it was essentially a working class area, with some middle class pockets,  and was one of the first towns in Victoria to be granted Municipal status.</w:t>
      </w:r>
      <w:r>
        <w:br/>
        <w:t>Today it continues to undergo gentrification, noted for its Victorian architecture, cosmopolitan demographic, commercial and older industrial areas.</w:t>
      </w:r>
      <w:r>
        <w:br w:type="page"/>
      </w:r>
    </w:p>
    <w:p w14:paraId="4D2FC2BB" w14:textId="77777777" w:rsidR="00267E0D" w:rsidRDefault="00267E0D" w:rsidP="0035672D">
      <w:pPr>
        <w:pStyle w:val="Heading2"/>
        <w:spacing w:before="0" w:after="120" w:line="240" w:lineRule="auto"/>
      </w:pPr>
      <w:bookmarkStart w:id="3" w:name="_Toc1637625179098"/>
      <w:r>
        <w:lastRenderedPageBreak/>
        <w:t>Demographics</w:t>
      </w:r>
      <w:bookmarkEnd w:id="3"/>
    </w:p>
    <w:p w14:paraId="3C4E63D0" w14:textId="77777777" w:rsidR="00E07E97" w:rsidRPr="00E07E97" w:rsidRDefault="00E07E97" w:rsidP="0035672D">
      <w:pPr>
        <w:spacing w:after="120"/>
      </w:pPr>
      <w:r>
        <w:rPr>
          <w:sz w:val="18"/>
          <w:szCs w:val="18"/>
        </w:rPr>
        <w:t xml:space="preserve">Key demographics stats according to </w:t>
      </w:r>
      <w:r w:rsidRPr="00A96A52">
        <w:rPr>
          <w:sz w:val="18"/>
          <w:szCs w:val="18"/>
        </w:rPr>
        <w:t>ABS Census 2016</w:t>
      </w:r>
      <w:r>
        <w:rPr>
          <w:sz w:val="18"/>
          <w:szCs w:val="18"/>
        </w:rPr>
        <w:t>:</w:t>
      </w:r>
    </w:p>
    <w:p w14:paraId="26580146" w14:textId="77777777" w:rsidR="00267E0D" w:rsidRDefault="00267E0D" w:rsidP="0035672D">
      <w:pPr>
        <w:pStyle w:val="Standard"/>
        <w:spacing w:after="0" w:line="240" w:lineRule="auto"/>
      </w:pPr>
      <w:r>
        <w:rPr>
          <w:noProof/>
        </w:rPr>
        <w:drawing>
          <wp:inline distT="0" distB="0" distL="0" distR="0" wp14:anchorId="01A07C72" wp14:editId="04D2D172">
            <wp:extent cx="3237382" cy="3091182"/>
            <wp:effectExtent l="0" t="0" r="1270" b="139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drawing>
          <wp:inline distT="0" distB="0" distL="0" distR="0" wp14:anchorId="26B9C674" wp14:editId="3FFF0C6B">
            <wp:extent cx="3237382" cy="3091182"/>
            <wp:effectExtent l="0" t="0" r="1270" b="1397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368C28DF" wp14:editId="3A08B373">
            <wp:extent cx="6435306" cy="4176395"/>
            <wp:effectExtent l="0" t="0" r="3810"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lastRenderedPageBreak/>
        <w:drawing>
          <wp:inline distT="0" distB="0" distL="0" distR="0" wp14:anchorId="7AD924B5" wp14:editId="77621D1A">
            <wp:extent cx="3237382" cy="3091182"/>
            <wp:effectExtent l="0" t="0" r="1270" b="1397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0A035746" wp14:editId="3D37D067">
            <wp:extent cx="3237382" cy="3091182"/>
            <wp:effectExtent l="0" t="0" r="1270" b="1397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2142CD32" wp14:editId="1AC6BF79">
            <wp:extent cx="6421755" cy="4235501"/>
            <wp:effectExtent l="0" t="0" r="17145" b="1270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rPr>
        <w:lastRenderedPageBreak/>
        <w:drawing>
          <wp:inline distT="0" distB="0" distL="0" distR="0" wp14:anchorId="55AC434C" wp14:editId="4C9E993E">
            <wp:extent cx="3237382" cy="3091182"/>
            <wp:effectExtent l="0" t="0" r="1270" b="1397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7B69C92B" wp14:editId="24577B2C">
            <wp:extent cx="3237382" cy="3091182"/>
            <wp:effectExtent l="0" t="0" r="1270" b="1397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4B1D06E6" wp14:editId="339E7D12">
            <wp:extent cx="3237382" cy="3091182"/>
            <wp:effectExtent l="0" t="0" r="1270" b="1397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6230FB5F" wp14:editId="0C285191">
            <wp:extent cx="3237382" cy="3091182"/>
            <wp:effectExtent l="0" t="0" r="1270" b="1397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01CDEA4B" wp14:editId="53A1DEB7">
            <wp:extent cx="3237382" cy="3091182"/>
            <wp:effectExtent l="0" t="0" r="1270" b="1397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03E9F76A" wp14:editId="41C55B53">
            <wp:extent cx="3237382" cy="3091182"/>
            <wp:effectExtent l="0" t="0" r="1270" b="1397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4" w:name="_Hlk72256670"/>
      <w:bookmarkEnd w:id="4"/>
      <w:r>
        <w:rPr>
          <w:noProof/>
        </w:rPr>
        <w:lastRenderedPageBreak/>
        <w:drawing>
          <wp:inline distT="0" distB="0" distL="0" distR="0" wp14:anchorId="4B4D535F" wp14:editId="708443A4">
            <wp:extent cx="6421755" cy="4235501"/>
            <wp:effectExtent l="0" t="0" r="17145" b="1270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14:anchorId="1D23EC82" wp14:editId="0634E982">
            <wp:extent cx="6435306" cy="4176395"/>
            <wp:effectExtent l="0" t="0" r="3810" b="14605"/>
            <wp:docPr id="1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br w:type="page"/>
      </w:r>
    </w:p>
    <w:p w14:paraId="1935A4B0" w14:textId="77777777" w:rsidR="009965E7" w:rsidRDefault="00C7003D" w:rsidP="009965E7">
      <w:pPr>
        <w:pStyle w:val="Heading2"/>
        <w:spacing w:before="0"/>
      </w:pPr>
      <w:bookmarkStart w:id="5" w:name="_Toc1637625179099"/>
      <w:r>
        <w:lastRenderedPageBreak/>
        <w:t xml:space="preserve">Suburb </w:t>
      </w:r>
      <w:bookmarkEnd w:id="5"/>
      <w:r w:rsidR="009965E7">
        <w:t>Report basis</w:t>
      </w:r>
    </w:p>
    <w:p w14:paraId="39FBA7A4" w14:textId="77777777" w:rsidR="009965E7" w:rsidRDefault="009965E7" w:rsidP="009965E7">
      <w:pPr>
        <w:spacing w:before="57" w:after="113"/>
      </w:pPr>
      <w:r>
        <w:t>Prices move in response to the changes of supply and demand. For prices to rise, demand must exceed supply. The greater the degree by which demand exceeds supply the greater the pressure on prices to rise.</w:t>
      </w:r>
    </w:p>
    <w:p w14:paraId="065AFECC" w14:textId="77777777" w:rsidR="009965E7" w:rsidRDefault="009965E7" w:rsidP="009965E7">
      <w:pPr>
        <w:spacing w:before="57" w:after="113"/>
      </w:pPr>
      <w:r>
        <w:t>There can be a large number of factors influencing the tug-o-war between supply and demand. Some changes that might increase demand include:</w:t>
      </w:r>
    </w:p>
    <w:p w14:paraId="6BED7EC5" w14:textId="77777777" w:rsidR="009965E7" w:rsidRDefault="009965E7" w:rsidP="009965E7">
      <w:pPr>
        <w:pStyle w:val="ListParagraph"/>
        <w:numPr>
          <w:ilvl w:val="0"/>
          <w:numId w:val="6"/>
        </w:numPr>
        <w:spacing w:after="0"/>
      </w:pPr>
      <w:r>
        <w:t>New roads</w:t>
      </w:r>
    </w:p>
    <w:p w14:paraId="11254148" w14:textId="77777777" w:rsidR="009965E7" w:rsidRDefault="009965E7" w:rsidP="009965E7">
      <w:pPr>
        <w:pStyle w:val="ListParagraph"/>
        <w:numPr>
          <w:ilvl w:val="0"/>
          <w:numId w:val="6"/>
        </w:numPr>
        <w:spacing w:after="0"/>
      </w:pPr>
      <w:r>
        <w:t>Extensions to railway lines</w:t>
      </w:r>
    </w:p>
    <w:p w14:paraId="5D46286B" w14:textId="77777777" w:rsidR="009965E7" w:rsidRDefault="009965E7" w:rsidP="009965E7">
      <w:pPr>
        <w:pStyle w:val="ListParagraph"/>
        <w:numPr>
          <w:ilvl w:val="0"/>
          <w:numId w:val="6"/>
        </w:numPr>
        <w:spacing w:after="0"/>
      </w:pPr>
      <w:r>
        <w:t>New bridges</w:t>
      </w:r>
    </w:p>
    <w:p w14:paraId="678972BA" w14:textId="77777777" w:rsidR="009965E7" w:rsidRDefault="009965E7" w:rsidP="009965E7">
      <w:pPr>
        <w:pStyle w:val="ListParagraph"/>
        <w:numPr>
          <w:ilvl w:val="0"/>
          <w:numId w:val="6"/>
        </w:numPr>
        <w:spacing w:after="0"/>
      </w:pPr>
      <w:r>
        <w:t>New hospitals or extensions to existing ones</w:t>
      </w:r>
    </w:p>
    <w:p w14:paraId="1F032BF4" w14:textId="77777777" w:rsidR="009965E7" w:rsidRDefault="009965E7" w:rsidP="009965E7">
      <w:pPr>
        <w:pStyle w:val="ListParagraph"/>
        <w:numPr>
          <w:ilvl w:val="0"/>
          <w:numId w:val="6"/>
        </w:numPr>
        <w:spacing w:after="0"/>
      </w:pPr>
      <w:r>
        <w:t>Private enterprises setting up in an area or government departments relocating</w:t>
      </w:r>
    </w:p>
    <w:p w14:paraId="57B9F612" w14:textId="77777777" w:rsidR="009965E7" w:rsidRDefault="009965E7" w:rsidP="009965E7">
      <w:pPr>
        <w:pStyle w:val="ListParagraph"/>
        <w:numPr>
          <w:ilvl w:val="0"/>
          <w:numId w:val="6"/>
        </w:numPr>
        <w:spacing w:after="0"/>
      </w:pPr>
      <w:r>
        <w:t>New schools</w:t>
      </w:r>
    </w:p>
    <w:p w14:paraId="142206DB" w14:textId="77777777" w:rsidR="009965E7" w:rsidRDefault="009965E7" w:rsidP="009965E7">
      <w:pPr>
        <w:pStyle w:val="ListParagraph"/>
        <w:numPr>
          <w:ilvl w:val="0"/>
          <w:numId w:val="6"/>
        </w:numPr>
        <w:spacing w:after="0"/>
      </w:pPr>
      <w:r>
        <w:t>Changes in what people find appealing now days</w:t>
      </w:r>
    </w:p>
    <w:p w14:paraId="786DABC3" w14:textId="77777777" w:rsidR="009965E7" w:rsidRDefault="009965E7" w:rsidP="009965E7">
      <w:pPr>
        <w:spacing w:before="114" w:after="114"/>
      </w:pPr>
      <w:r>
        <w:t>Some changes that might lead to increases in supply include:</w:t>
      </w:r>
    </w:p>
    <w:p w14:paraId="22635E7D" w14:textId="77777777" w:rsidR="009965E7" w:rsidRDefault="009965E7" w:rsidP="009965E7">
      <w:pPr>
        <w:pStyle w:val="ListParagraph"/>
        <w:numPr>
          <w:ilvl w:val="0"/>
          <w:numId w:val="7"/>
        </w:numPr>
        <w:spacing w:after="0"/>
      </w:pPr>
      <w:r>
        <w:t>Releases of new land or house and land estates</w:t>
      </w:r>
    </w:p>
    <w:p w14:paraId="592CA49F" w14:textId="77777777" w:rsidR="009965E7" w:rsidRDefault="009965E7" w:rsidP="009965E7">
      <w:pPr>
        <w:pStyle w:val="ListParagraph"/>
        <w:numPr>
          <w:ilvl w:val="0"/>
          <w:numId w:val="7"/>
        </w:numPr>
        <w:spacing w:after="0"/>
      </w:pPr>
      <w:r>
        <w:t>Developers replacing low density properties with higher density ones</w:t>
      </w:r>
    </w:p>
    <w:p w14:paraId="20B43EFB" w14:textId="77777777" w:rsidR="009965E7" w:rsidRDefault="009965E7" w:rsidP="009965E7">
      <w:pPr>
        <w:spacing w:before="113" w:after="113"/>
      </w:pPr>
      <w:r>
        <w:t>The degree to which these fundamental forces influence demand and supply can be measured using a set of key statistics. This report gathers and examines those key statistics. It measures the degree of balance between the forces of demand and supply in the NORTH MELBOURNE residential property market - specifically, Houses as they were at the end of 31 October 2021.</w:t>
      </w:r>
    </w:p>
    <w:p w14:paraId="3DE0E725"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rPr>
          <w:i/>
          <w:iCs/>
        </w:rPr>
      </w:pPr>
      <w:r>
        <w:t>Note that this report only researches the statistics of supply and demand. The report does not detail circumstances concerning the drivers influencing these statistics. The research of those circumstances falls under the banner of "fundamental" research.</w:t>
      </w:r>
    </w:p>
    <w:p w14:paraId="7810469D" w14:textId="77777777" w:rsidR="009965E7" w:rsidRPr="00E764D5" w:rsidRDefault="009965E7" w:rsidP="00E764D5">
      <w:pPr>
        <w:pStyle w:val="Standard"/>
        <w:rPr>
          <w:rFonts w:asciiTheme="majorHAnsi" w:eastAsiaTheme="majorEastAsia" w:hAnsiTheme="majorHAnsi" w:cstheme="majorBidi"/>
          <w:b/>
          <w:bCs/>
          <w:color w:val="4472C4" w:themeColor="accent1"/>
          <w:sz w:val="26"/>
          <w:szCs w:val="26"/>
        </w:rPr>
      </w:pPr>
      <w:r w:rsidRPr="00E764D5">
        <w:rPr>
          <w:rFonts w:asciiTheme="majorHAnsi" w:eastAsiaTheme="majorEastAsia" w:hAnsiTheme="majorHAnsi" w:cstheme="majorBidi"/>
          <w:b/>
          <w:bCs/>
          <w:color w:val="4472C4" w:themeColor="accent1"/>
          <w:sz w:val="26"/>
          <w:szCs w:val="26"/>
        </w:rPr>
        <w:t>Terminology</w:t>
      </w:r>
    </w:p>
    <w:p w14:paraId="2371DC83" w14:textId="77777777" w:rsidR="009965E7" w:rsidRDefault="009965E7" w:rsidP="009965E7">
      <w:pPr>
        <w:spacing w:before="57" w:after="113"/>
      </w:pPr>
      <w:r>
        <w:t xml:space="preserve">“Property </w:t>
      </w:r>
      <w:r>
        <w:rPr>
          <w:b/>
          <w:bCs/>
        </w:rPr>
        <w:t>market</w:t>
      </w:r>
      <w:r>
        <w:t xml:space="preserve">” – we often use the term “market” instead of “suburb” when referring to a specific property type within the suburb </w:t>
      </w:r>
      <w:proofErr w:type="gramStart"/>
      <w:r>
        <w:t>i.e.</w:t>
      </w:r>
      <w:proofErr w:type="gramEnd"/>
      <w:r>
        <w:t xml:space="preserve"> houses or units. Houses in a suburb represent one property market while units in the same suburb are another market.</w:t>
      </w:r>
    </w:p>
    <w:p w14:paraId="62256195" w14:textId="77777777" w:rsidR="009965E7" w:rsidRDefault="009965E7" w:rsidP="009965E7">
      <w:pPr>
        <w:spacing w:before="57" w:after="113"/>
      </w:pPr>
      <w:r>
        <w:t>“</w:t>
      </w:r>
      <w:r>
        <w:rPr>
          <w:b/>
          <w:bCs/>
        </w:rPr>
        <w:t>SUA</w:t>
      </w:r>
      <w:r>
        <w:t xml:space="preserve">” – means Significant Urban Area. SUAs are defined by the Australian Bureau of Statistics. They are usually cities </w:t>
      </w:r>
      <w:proofErr w:type="gramStart"/>
      <w:r>
        <w:t>e.g.</w:t>
      </w:r>
      <w:proofErr w:type="gramEnd"/>
      <w:r>
        <w:t xml:space="preserve"> Sydney, Adelaide or Townsville. But sometimes they can refer to an area such as: “Newcastle – Maitland”, “Gold Coast – Tweed Heads” or “Canberra – Queanbeyan”. </w:t>
      </w:r>
    </w:p>
    <w:p w14:paraId="4F1D82B8" w14:textId="77777777" w:rsidR="009965E7" w:rsidRDefault="009965E7" w:rsidP="009965E7">
      <w:pPr>
        <w:spacing w:before="57" w:after="113"/>
      </w:pPr>
      <w:r>
        <w:br w:type="page"/>
      </w:r>
    </w:p>
    <w:p w14:paraId="3A2CB4C5" w14:textId="77777777" w:rsidR="009965E7" w:rsidRDefault="009965E7" w:rsidP="009965E7">
      <w:pPr>
        <w:pStyle w:val="Heading2"/>
        <w:spacing w:before="0"/>
      </w:pPr>
      <w:bookmarkStart w:id="6" w:name="_Toc1637625179100"/>
      <w:r>
        <w:lastRenderedPageBreak/>
        <w:t>Demand to Supply Ratio+</w:t>
      </w:r>
      <w:bookmarkEnd w:id="6"/>
      <w:r>
        <w:t xml:space="preserve"> (DSR+)</w:t>
      </w:r>
    </w:p>
    <w:p w14:paraId="601FC0EE" w14:textId="77777777" w:rsidR="009965E7" w:rsidRDefault="009965E7" w:rsidP="009965E7">
      <w:r>
        <w:t xml:space="preserve">A score out of 100 for the ratio of demand to supply in a property market that combines many supply and demand metrics. </w:t>
      </w:r>
      <w:hyperlink r:id="rId22" w:tgtFrame="_blank" w:history="1">
        <w:r w:rsidR="00DA3B3A" w:rsidRPr="00052F25">
          <w:rPr>
            <w:rStyle w:val="Hyperlink"/>
          </w:rPr>
          <w:t>Read more about this metric</w:t>
        </w:r>
      </w:hyperlink>
      <w:r>
        <w:t>.</w:t>
      </w:r>
    </w:p>
    <w:p w14:paraId="3D3962B9"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DSR+ for NORTH MELBOURNE Houses for the month ending 31 October 2021 was </w:t>
      </w:r>
      <w:r>
        <w:rPr>
          <w:b/>
          <w:bCs/>
        </w:rPr>
        <w:t>66</w:t>
      </w:r>
      <w:r>
        <w:t>.</w:t>
      </w:r>
    </w:p>
    <w:p w14:paraId="5D8D1B23" w14:textId="77777777" w:rsidR="009965E7" w:rsidRDefault="009965E7" w:rsidP="009965E7">
      <w:r>
        <w:t xml:space="preserve">The minimum DSR+ for the country as at 31 October 2021 was 23 while the maximum was 85. The median DSR+ for the same period was 59 and the average was 58. This can be visualised in the </w:t>
      </w:r>
      <w:hyperlink r:id="rId23">
        <w:r>
          <w:rPr>
            <w:rStyle w:val="Hyperlink"/>
          </w:rPr>
          <w:t>Context Ruler</w:t>
        </w:r>
      </w:hyperlink>
      <w:r>
        <w:t xml:space="preserve"> Infographic which follows.</w:t>
      </w:r>
      <w:r w:rsidRPr="0027283B">
        <w:t xml:space="preserve"> </w:t>
      </w:r>
    </w:p>
    <w:p w14:paraId="0956F5F2" w14:textId="77777777" w:rsidR="009965E7" w:rsidRDefault="009965E7" w:rsidP="009965E7">
      <w:pPr>
        <w:jc w:val="center"/>
      </w:pPr>
      <w:r>
        <w:rPr>
          <w:noProof/>
        </w:rPr>
        <w:drawing>
          <wp:inline distT="0" distB="0" distL="0" distR="0" wp14:anchorId="36EECF22" wp14:editId="028D19F5">
            <wp:extent cx="6019800" cy="1914525"/>
            <wp:effectExtent l="0" t="0" r="0" b="0"/>
            <wp:docPr id="7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6825EB6D" w14:textId="77777777" w:rsidR="009965E7" w:rsidRDefault="009965E7" w:rsidP="009965E7">
      <w:r>
        <w:t>The following chart shows the recent history of changes in the DSR+.</w:t>
      </w:r>
    </w:p>
    <w:p w14:paraId="11C59C60" w14:textId="77777777" w:rsidR="009965E7" w:rsidRDefault="009965E7" w:rsidP="009965E7">
      <w:pPr>
        <w:jc w:val="center"/>
      </w:pPr>
      <w:r>
        <w:rPr>
          <w:noProof/>
        </w:rPr>
        <w:drawing>
          <wp:inline distT="0" distB="0" distL="0" distR="0" wp14:anchorId="7A296DDE" wp14:editId="2268E1C0">
            <wp:extent cx="6724650" cy="3429000"/>
            <wp:effectExtent l="0" t="0" r="0" b="0"/>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0CD84E" w14:textId="77777777" w:rsidR="009965E7" w:rsidRDefault="009965E7" w:rsidP="009965E7">
      <w:r>
        <w:t>Note that gaps may appear in the history where data was unavailable for those months.</w:t>
      </w:r>
    </w:p>
    <w:p w14:paraId="38D3027A" w14:textId="77777777" w:rsidR="009965E7" w:rsidRDefault="009965E7" w:rsidP="009965E7">
      <w:pPr>
        <w:spacing w:before="57" w:after="113"/>
      </w:pPr>
      <w:r>
        <w:br w:type="page"/>
      </w:r>
    </w:p>
    <w:p w14:paraId="1212C981" w14:textId="77777777" w:rsidR="009965E7" w:rsidRDefault="009965E7" w:rsidP="009965E7">
      <w:pPr>
        <w:pStyle w:val="Heading2"/>
        <w:spacing w:before="0"/>
      </w:pPr>
      <w:bookmarkStart w:id="7" w:name="_Toc1637625179101"/>
      <w:r>
        <w:lastRenderedPageBreak/>
        <w:t>Demand to Supply Ratio</w:t>
      </w:r>
      <w:bookmarkEnd w:id="7"/>
      <w:r>
        <w:t xml:space="preserve"> (DSR)</w:t>
      </w:r>
    </w:p>
    <w:p w14:paraId="75C922C4" w14:textId="77777777" w:rsidR="009965E7" w:rsidRDefault="009965E7" w:rsidP="009965E7">
      <w:r>
        <w:t xml:space="preserve">A score out of 100 for the ratio of demand to supply in a property market that combines a number of supply and demand metrics. </w:t>
      </w:r>
      <w:hyperlink r:id="rId26" w:tgtFrame="_blank" w:history="1">
        <w:r w:rsidR="00DA3B3A" w:rsidRPr="00052F25">
          <w:rPr>
            <w:rStyle w:val="Hyperlink"/>
          </w:rPr>
          <w:t>Read more about this metric</w:t>
        </w:r>
      </w:hyperlink>
      <w:r>
        <w:t>.</w:t>
      </w:r>
    </w:p>
    <w:p w14:paraId="4047AF4A"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DSR for NORTH MELBOURNE Houses for the month ending 31 October 2021 was </w:t>
      </w:r>
      <w:r>
        <w:rPr>
          <w:b/>
          <w:bCs/>
        </w:rPr>
        <w:t>51</w:t>
      </w:r>
      <w:r>
        <w:t>. This is “Balanced”.</w:t>
      </w:r>
    </w:p>
    <w:p w14:paraId="191C8DEA"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rPr>
          <w:i/>
          <w:iCs/>
        </w:rPr>
      </w:pPr>
      <w:r>
        <w:rPr>
          <w:i/>
          <w:iCs/>
        </w:rPr>
        <w:t>This market is in balance with respect to supply and demand. There is a healthy count of properties for sale compared to the number of interested buyers. There is a closely fought tug-o-war between buyers and sellers. Sellers may get away with a good price if they find a poorly researched buyer. Buyers may get a good price if they find a seller who wants a quick sale. Prices should grow in line with the national average.</w:t>
      </w:r>
    </w:p>
    <w:p w14:paraId="777D104A" w14:textId="77777777" w:rsidR="009965E7" w:rsidRDefault="009965E7" w:rsidP="009965E7">
      <w:r>
        <w:t xml:space="preserve">The minimum DSR for the country as at 31 October 2021 was 28 while the maximum was 88. The median DSR for the same period was 66 and the average was 65. This can be visualised in the </w:t>
      </w:r>
      <w:hyperlink r:id="rId27">
        <w:r>
          <w:rPr>
            <w:rStyle w:val="Hyperlink"/>
          </w:rPr>
          <w:t>Context Ruler</w:t>
        </w:r>
      </w:hyperlink>
      <w:r>
        <w:t xml:space="preserve"> Infographic which follows.</w:t>
      </w:r>
      <w:r w:rsidRPr="0027283B">
        <w:t xml:space="preserve"> </w:t>
      </w:r>
    </w:p>
    <w:p w14:paraId="13E6CF43" w14:textId="77777777" w:rsidR="009965E7" w:rsidRDefault="009965E7" w:rsidP="009965E7">
      <w:pPr>
        <w:jc w:val="center"/>
      </w:pPr>
      <w:r>
        <w:rPr>
          <w:noProof/>
        </w:rPr>
        <w:drawing>
          <wp:inline distT="0" distB="0" distL="0" distR="0" wp14:anchorId="2CA95626" wp14:editId="775AA9A5">
            <wp:extent cx="6019800" cy="1914525"/>
            <wp:effectExtent l="0" t="0" r="0" b="0"/>
            <wp:docPr id="83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18A9F1DE" w14:textId="77777777" w:rsidR="009965E7" w:rsidRDefault="009965E7" w:rsidP="009965E7">
      <w:r>
        <w:t>The following chart shows the recent history of changes in the DSR.</w:t>
      </w:r>
    </w:p>
    <w:p w14:paraId="4AB091C9" w14:textId="77777777" w:rsidR="009965E7" w:rsidRDefault="009965E7" w:rsidP="009965E7">
      <w:pPr>
        <w:jc w:val="center"/>
      </w:pPr>
      <w:r>
        <w:rPr>
          <w:noProof/>
        </w:rPr>
        <w:drawing>
          <wp:inline distT="0" distB="0" distL="0" distR="0" wp14:anchorId="6C2B27D5" wp14:editId="4EA41130">
            <wp:extent cx="6724650" cy="3429000"/>
            <wp:effectExtent l="0" t="0" r="0" b="0"/>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D5B870" w14:textId="77777777" w:rsidR="009965E7" w:rsidRDefault="009965E7" w:rsidP="009965E7">
      <w:r>
        <w:t>Note that gaps may appear in the history where data was unavailable for those months.</w:t>
      </w:r>
    </w:p>
    <w:p w14:paraId="0C119A86" w14:textId="77777777" w:rsidR="009965E7" w:rsidRDefault="009965E7" w:rsidP="009965E7">
      <w:pPr>
        <w:spacing w:before="57" w:after="113"/>
      </w:pPr>
      <w:r>
        <w:br w:type="page"/>
      </w:r>
    </w:p>
    <w:p w14:paraId="1A61C7A5" w14:textId="77777777" w:rsidR="009965E7" w:rsidRDefault="009965E7" w:rsidP="009965E7">
      <w:pPr>
        <w:pStyle w:val="Heading2"/>
        <w:spacing w:before="0"/>
      </w:pPr>
      <w:bookmarkStart w:id="8" w:name="_Toc1637625179102"/>
      <w:r>
        <w:lastRenderedPageBreak/>
        <w:t>Statistical reliability+</w:t>
      </w:r>
      <w:bookmarkEnd w:id="8"/>
      <w:r>
        <w:t xml:space="preserve"> (SR+)</w:t>
      </w:r>
    </w:p>
    <w:p w14:paraId="3434CAED" w14:textId="77777777" w:rsidR="009965E7" w:rsidRDefault="009965E7" w:rsidP="009965E7">
      <w:r>
        <w:t xml:space="preserve">A score out of 100 for the statistical reliability of the DSR+ for a property market. </w:t>
      </w:r>
      <w:hyperlink r:id="rId30" w:tgtFrame="_blank" w:history="1">
        <w:r w:rsidR="00DA3B3A" w:rsidRPr="00052F25">
          <w:rPr>
            <w:rStyle w:val="Hyperlink"/>
          </w:rPr>
          <w:t>Read more about this metric</w:t>
        </w:r>
      </w:hyperlink>
      <w:r>
        <w:t>.</w:t>
      </w:r>
    </w:p>
    <w:p w14:paraId="6859B299"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SR+ for NORTH MELBOURNE Houses for the month ending 31 October 2021 was </w:t>
      </w:r>
      <w:r>
        <w:rPr>
          <w:b/>
          <w:bCs/>
        </w:rPr>
        <w:t>81</w:t>
      </w:r>
      <w:r>
        <w:t>.</w:t>
      </w:r>
    </w:p>
    <w:p w14:paraId="542582E1" w14:textId="77777777" w:rsidR="009965E7" w:rsidRDefault="009965E7" w:rsidP="009965E7">
      <w:r>
        <w:t xml:space="preserve">The minimum SR+ for the country as at 31 October 2021 was 14 while the maximum was 85. The median SR+ for the same period was 66 and the average was 61. This can be visualised in the </w:t>
      </w:r>
      <w:hyperlink r:id="rId31">
        <w:r>
          <w:rPr>
            <w:rStyle w:val="Hyperlink"/>
          </w:rPr>
          <w:t>Context Ruler</w:t>
        </w:r>
      </w:hyperlink>
      <w:r>
        <w:t xml:space="preserve"> Infographic which follows.</w:t>
      </w:r>
      <w:r w:rsidRPr="0027283B">
        <w:t xml:space="preserve"> </w:t>
      </w:r>
    </w:p>
    <w:p w14:paraId="3E1ACFC6" w14:textId="77777777" w:rsidR="009965E7" w:rsidRDefault="009965E7" w:rsidP="009965E7">
      <w:pPr>
        <w:jc w:val="center"/>
      </w:pPr>
      <w:r>
        <w:rPr>
          <w:noProof/>
        </w:rPr>
        <w:drawing>
          <wp:inline distT="0" distB="0" distL="0" distR="0" wp14:anchorId="07342D31" wp14:editId="77B6609A">
            <wp:extent cx="6019800" cy="1914525"/>
            <wp:effectExtent l="0" t="0" r="0" b="0"/>
            <wp:docPr id="8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25A1B732" w14:textId="77777777" w:rsidR="009965E7" w:rsidRDefault="009965E7" w:rsidP="009965E7">
      <w:r>
        <w:t>The following chart shows the recent history of changes in the SR+.</w:t>
      </w:r>
    </w:p>
    <w:p w14:paraId="47FDD1F4" w14:textId="77777777" w:rsidR="009965E7" w:rsidRDefault="009965E7" w:rsidP="009965E7">
      <w:pPr>
        <w:jc w:val="center"/>
      </w:pPr>
      <w:r>
        <w:rPr>
          <w:noProof/>
        </w:rPr>
        <w:drawing>
          <wp:inline distT="0" distB="0" distL="0" distR="0" wp14:anchorId="2AA4EFCE" wp14:editId="14906F0E">
            <wp:extent cx="6724650" cy="3429000"/>
            <wp:effectExtent l="0" t="0" r="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F6C60D8" w14:textId="77777777" w:rsidR="009965E7" w:rsidRDefault="009965E7" w:rsidP="009965E7">
      <w:r>
        <w:t>Note that gaps may appear in the history where data was unavailable for those months.</w:t>
      </w:r>
    </w:p>
    <w:p w14:paraId="2BCC2B31" w14:textId="77777777" w:rsidR="009965E7" w:rsidRDefault="009965E7" w:rsidP="009965E7">
      <w:pPr>
        <w:spacing w:before="57" w:after="113"/>
      </w:pPr>
      <w:r>
        <w:br w:type="page"/>
      </w:r>
    </w:p>
    <w:p w14:paraId="52A1BFDB" w14:textId="77777777" w:rsidR="009965E7" w:rsidRDefault="009965E7" w:rsidP="009965E7">
      <w:pPr>
        <w:pStyle w:val="Heading2"/>
        <w:spacing w:before="0"/>
      </w:pPr>
      <w:bookmarkStart w:id="9" w:name="_Toc1637625179103"/>
      <w:r>
        <w:lastRenderedPageBreak/>
        <w:t>Statistical reliability</w:t>
      </w:r>
      <w:bookmarkEnd w:id="9"/>
      <w:r>
        <w:t xml:space="preserve"> (SR)</w:t>
      </w:r>
    </w:p>
    <w:p w14:paraId="224A1239" w14:textId="77777777" w:rsidR="009965E7" w:rsidRDefault="009965E7" w:rsidP="009965E7">
      <w:r>
        <w:t xml:space="preserve">A score out of 100 for the statistical reliability of the DSR for a property market. </w:t>
      </w:r>
      <w:hyperlink r:id="rId34" w:tgtFrame="_blank" w:history="1">
        <w:r w:rsidR="00DA3B3A" w:rsidRPr="00052F25">
          <w:rPr>
            <w:rStyle w:val="Hyperlink"/>
          </w:rPr>
          <w:t>Read more about this metric</w:t>
        </w:r>
      </w:hyperlink>
      <w:r>
        <w:t>.</w:t>
      </w:r>
    </w:p>
    <w:p w14:paraId="0EA9CA22"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SR for NORTH MELBOURNE Houses for the month ending 31 October 2021 was </w:t>
      </w:r>
      <w:r>
        <w:rPr>
          <w:b/>
          <w:bCs/>
        </w:rPr>
        <w:t>80</w:t>
      </w:r>
      <w:r>
        <w:t>.</w:t>
      </w:r>
    </w:p>
    <w:p w14:paraId="22BC4163" w14:textId="77777777" w:rsidR="009965E7" w:rsidRDefault="009965E7" w:rsidP="009965E7">
      <w:r>
        <w:t xml:space="preserve">The minimum SR for the country as at 31 October 2021 was 26 while the maximum was 84. The median SR for the same period was 57 and the average was 56. This can be visualised in the </w:t>
      </w:r>
      <w:hyperlink r:id="rId35">
        <w:r>
          <w:rPr>
            <w:rStyle w:val="Hyperlink"/>
          </w:rPr>
          <w:t>Context Ruler</w:t>
        </w:r>
      </w:hyperlink>
      <w:r>
        <w:t xml:space="preserve"> Infographic which follows.</w:t>
      </w:r>
      <w:r w:rsidRPr="0027283B">
        <w:t xml:space="preserve"> </w:t>
      </w:r>
    </w:p>
    <w:p w14:paraId="2B252DEF" w14:textId="77777777" w:rsidR="009965E7" w:rsidRDefault="009965E7" w:rsidP="009965E7">
      <w:pPr>
        <w:jc w:val="center"/>
      </w:pPr>
      <w:r>
        <w:rPr>
          <w:noProof/>
        </w:rPr>
        <w:drawing>
          <wp:inline distT="0" distB="0" distL="0" distR="0" wp14:anchorId="04012EED" wp14:editId="3C71EE79">
            <wp:extent cx="6019800" cy="1914525"/>
            <wp:effectExtent l="0" t="0" r="0" b="0"/>
            <wp:docPr id="93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4C6001CA" w14:textId="77777777" w:rsidR="009965E7" w:rsidRDefault="009965E7" w:rsidP="009965E7">
      <w:r>
        <w:t>The following chart shows the recent history of changes in the SR.</w:t>
      </w:r>
    </w:p>
    <w:p w14:paraId="1A3185AA" w14:textId="77777777" w:rsidR="009965E7" w:rsidRDefault="009965E7" w:rsidP="009965E7">
      <w:pPr>
        <w:jc w:val="center"/>
      </w:pPr>
      <w:r>
        <w:rPr>
          <w:noProof/>
        </w:rPr>
        <w:drawing>
          <wp:inline distT="0" distB="0" distL="0" distR="0" wp14:anchorId="79D67085" wp14:editId="32A792FB">
            <wp:extent cx="6724650" cy="3429000"/>
            <wp:effectExtent l="0" t="0" r="0" b="0"/>
            <wp:docPr id="1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8E19815" w14:textId="77777777" w:rsidR="009965E7" w:rsidRDefault="009965E7" w:rsidP="009965E7">
      <w:r>
        <w:t>Note that gaps may appear in the history where data was unavailable for those months.</w:t>
      </w:r>
    </w:p>
    <w:p w14:paraId="019448DB" w14:textId="77777777" w:rsidR="009965E7" w:rsidRDefault="009965E7" w:rsidP="009965E7">
      <w:pPr>
        <w:spacing w:before="57" w:after="113"/>
      </w:pPr>
      <w:r>
        <w:br w:type="page"/>
      </w:r>
    </w:p>
    <w:p w14:paraId="30BBAA57" w14:textId="77777777" w:rsidR="009965E7" w:rsidRDefault="009965E7" w:rsidP="009965E7">
      <w:pPr>
        <w:pStyle w:val="Heading2"/>
        <w:spacing w:before="0"/>
      </w:pPr>
      <w:bookmarkStart w:id="10" w:name="_Toc1637625179104"/>
      <w:r>
        <w:lastRenderedPageBreak/>
        <w:t>Typical value</w:t>
      </w:r>
      <w:bookmarkEnd w:id="10"/>
      <w:r>
        <w:t xml:space="preserve"> (TV)</w:t>
      </w:r>
    </w:p>
    <w:p w14:paraId="2A82889A" w14:textId="77777777" w:rsidR="009965E7" w:rsidRDefault="009965E7" w:rsidP="009965E7">
      <w:r>
        <w:t xml:space="preserve">An estimate of the typical value of properties in a market. </w:t>
      </w:r>
      <w:hyperlink r:id="rId38" w:tgtFrame="_blank" w:history="1">
        <w:r w:rsidR="00DA3B3A" w:rsidRPr="00052F25">
          <w:rPr>
            <w:rStyle w:val="Hyperlink"/>
          </w:rPr>
          <w:t>Read more about this metric</w:t>
        </w:r>
      </w:hyperlink>
      <w:r>
        <w:t>.</w:t>
      </w:r>
    </w:p>
    <w:p w14:paraId="6CBF3560"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TV for NORTH MELBOURNE Houses for the month ending 31 October 2021 was </w:t>
      </w:r>
      <w:r>
        <w:rPr>
          <w:b/>
          <w:bCs/>
        </w:rPr>
        <w:t>$1,321,700</w:t>
      </w:r>
      <w:r>
        <w:t>.</w:t>
      </w:r>
    </w:p>
    <w:p w14:paraId="7E6F999F" w14:textId="77777777" w:rsidR="009965E7" w:rsidRDefault="009965E7" w:rsidP="009965E7">
      <w:r>
        <w:t xml:space="preserve">The minimum TV for the country as at 31 October 2021 was $93,900 while the maximum was $12,236,809. The median TV for the same period was $613,879 and the average was $776,066. This can be visualised in the </w:t>
      </w:r>
      <w:hyperlink r:id="rId39">
        <w:r>
          <w:rPr>
            <w:rStyle w:val="Hyperlink"/>
          </w:rPr>
          <w:t>Context Ruler</w:t>
        </w:r>
      </w:hyperlink>
      <w:r>
        <w:t xml:space="preserve"> Infographic which follows.</w:t>
      </w:r>
      <w:r w:rsidRPr="0027283B">
        <w:t xml:space="preserve"> </w:t>
      </w:r>
    </w:p>
    <w:p w14:paraId="1A656705" w14:textId="77777777" w:rsidR="009965E7" w:rsidRDefault="009965E7" w:rsidP="009965E7">
      <w:pPr>
        <w:jc w:val="center"/>
      </w:pPr>
      <w:r>
        <w:rPr>
          <w:noProof/>
        </w:rPr>
        <w:drawing>
          <wp:inline distT="0" distB="0" distL="0" distR="0" wp14:anchorId="61BE79FA" wp14:editId="635A6102">
            <wp:extent cx="6019800" cy="1914525"/>
            <wp:effectExtent l="0" t="0" r="0" b="0"/>
            <wp:docPr id="97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3F2DE0D7" w14:textId="77777777" w:rsidR="009965E7" w:rsidRDefault="009965E7" w:rsidP="009965E7">
      <w:r>
        <w:t>The following chart shows the recent history of changes in the TV.</w:t>
      </w:r>
    </w:p>
    <w:p w14:paraId="5E177085" w14:textId="77777777" w:rsidR="009965E7" w:rsidRDefault="009965E7" w:rsidP="009965E7">
      <w:pPr>
        <w:jc w:val="center"/>
      </w:pPr>
      <w:r>
        <w:rPr>
          <w:noProof/>
        </w:rPr>
        <w:drawing>
          <wp:inline distT="0" distB="0" distL="0" distR="0" wp14:anchorId="1D4866DD" wp14:editId="7D9EFDA7">
            <wp:extent cx="6724650" cy="3429000"/>
            <wp:effectExtent l="0" t="0" r="0" b="0"/>
            <wp:docPr id="2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444850B" w14:textId="77777777" w:rsidR="009965E7" w:rsidRDefault="009965E7" w:rsidP="009965E7">
      <w:r>
        <w:t>Note that gaps may appear in the history where data was unavailable for those months.</w:t>
      </w:r>
    </w:p>
    <w:p w14:paraId="13B0D1F6" w14:textId="77777777" w:rsidR="009965E7" w:rsidRDefault="009965E7" w:rsidP="009965E7">
      <w:pPr>
        <w:spacing w:after="0" w:line="240" w:lineRule="auto"/>
      </w:pPr>
      <w:r>
        <w:br w:type="page"/>
      </w:r>
    </w:p>
    <w:p w14:paraId="0173917A" w14:textId="77777777" w:rsidR="009965E7" w:rsidRDefault="009965E7" w:rsidP="009965E7"/>
    <w:p w14:paraId="49A0B742" w14:textId="77777777" w:rsidR="009965E7" w:rsidRDefault="009965E7" w:rsidP="009965E7">
      <w:r>
        <w:t xml:space="preserve">The following table shows the </w:t>
      </w:r>
      <w:r>
        <w:rPr>
          <w:b/>
          <w:bCs/>
        </w:rPr>
        <w:t>total growth</w:t>
      </w:r>
      <w:r>
        <w:t xml:space="preserve"> for these markets over a number of historical </w:t>
      </w:r>
      <w:r w:rsidR="00535164">
        <w:t>timeframes</w:t>
      </w:r>
      <w:r>
        <w:t>.</w:t>
      </w:r>
    </w:p>
    <w:tbl>
      <w:tblPr>
        <w:tblStyle w:val="ListTable3-Accent1"/>
        <w:tblW w:w="10616" w:type="dxa"/>
        <w:tblLook w:val="04A0" w:firstRow="1" w:lastRow="0" w:firstColumn="1" w:lastColumn="0" w:noHBand="0" w:noVBand="1"/>
      </w:tblPr>
      <w:tblGrid>
        <w:gridCol w:w="3964"/>
        <w:gridCol w:w="883"/>
        <w:gridCol w:w="883"/>
        <w:gridCol w:w="883"/>
        <w:gridCol w:w="883"/>
        <w:gridCol w:w="984"/>
        <w:gridCol w:w="984"/>
        <w:gridCol w:w="1152"/>
      </w:tblGrid>
      <w:tr w:rsidR="009965E7" w14:paraId="78942AEE" w14:textId="77777777" w:rsidTr="00536F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vMerge w:val="restart"/>
          </w:tcPr>
          <w:p w14:paraId="35A332D3" w14:textId="77777777" w:rsidR="009965E7" w:rsidRDefault="009965E7" w:rsidP="00536FBD">
            <w:pPr>
              <w:spacing w:after="0"/>
              <w:jc w:val="center"/>
              <w:rPr>
                <w:b w:val="0"/>
                <w:bCs w:val="0"/>
              </w:rPr>
            </w:pPr>
            <w:r>
              <w:rPr>
                <w:b w:val="0"/>
                <w:bCs w:val="0"/>
              </w:rPr>
              <w:t>Name</w:t>
            </w:r>
          </w:p>
        </w:tc>
        <w:tc>
          <w:tcPr>
            <w:tcW w:w="6652" w:type="dxa"/>
            <w:gridSpan w:val="7"/>
          </w:tcPr>
          <w:p w14:paraId="50E19168" w14:textId="77777777" w:rsidR="009965E7" w:rsidRDefault="009965E7" w:rsidP="00536F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t>Total growth last N years %</w:t>
            </w:r>
          </w:p>
        </w:tc>
      </w:tr>
      <w:tr w:rsidR="009965E7" w14:paraId="2490F20B"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tcPr>
          <w:p w14:paraId="673FD8BB" w14:textId="77777777" w:rsidR="009965E7" w:rsidRDefault="009965E7" w:rsidP="00536FBD">
            <w:pPr>
              <w:spacing w:after="0"/>
              <w:jc w:val="center"/>
              <w:rPr>
                <w:b w:val="0"/>
                <w:bCs w:val="0"/>
              </w:rPr>
            </w:pPr>
          </w:p>
        </w:tc>
        <w:tc>
          <w:tcPr>
            <w:tcW w:w="883" w:type="dxa"/>
          </w:tcPr>
          <w:p w14:paraId="176A69E8" w14:textId="77777777" w:rsidR="009965E7" w:rsidRDefault="009965E7" w:rsidP="00536FBD">
            <w:pPr>
              <w:spacing w:after="0" w:line="240" w:lineRule="auto"/>
              <w:ind w:right="-27"/>
              <w:jc w:val="center"/>
              <w:cnfStyle w:val="000000100000" w:firstRow="0" w:lastRow="0" w:firstColumn="0" w:lastColumn="0" w:oddVBand="0" w:evenVBand="0" w:oddHBand="1" w:evenHBand="0" w:firstRowFirstColumn="0" w:firstRowLastColumn="0" w:lastRowFirstColumn="0" w:lastRowLastColumn="0"/>
              <w:rPr>
                <w:b/>
                <w:bCs/>
              </w:rPr>
            </w:pPr>
            <w:r>
              <w:rPr>
                <w:b/>
                <w:bCs/>
              </w:rPr>
              <w:t>1</w:t>
            </w:r>
          </w:p>
        </w:tc>
        <w:tc>
          <w:tcPr>
            <w:tcW w:w="883" w:type="dxa"/>
          </w:tcPr>
          <w:p w14:paraId="686DB94D" w14:textId="77777777" w:rsidR="009965E7" w:rsidRDefault="009965E7" w:rsidP="00536FBD">
            <w:pPr>
              <w:spacing w:after="0" w:line="240" w:lineRule="auto"/>
              <w:ind w:right="-27"/>
              <w:jc w:val="center"/>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883" w:type="dxa"/>
          </w:tcPr>
          <w:p w14:paraId="546ABEE0" w14:textId="77777777" w:rsidR="009965E7" w:rsidRDefault="009965E7" w:rsidP="00536FBD">
            <w:pPr>
              <w:spacing w:after="0" w:line="240" w:lineRule="auto"/>
              <w:ind w:right="-27"/>
              <w:jc w:val="center"/>
              <w:cnfStyle w:val="000000100000" w:firstRow="0" w:lastRow="0" w:firstColumn="0" w:lastColumn="0" w:oddVBand="0" w:evenVBand="0" w:oddHBand="1" w:evenHBand="0" w:firstRowFirstColumn="0" w:firstRowLastColumn="0" w:lastRowFirstColumn="0" w:lastRowLastColumn="0"/>
              <w:rPr>
                <w:b/>
                <w:bCs/>
              </w:rPr>
            </w:pPr>
            <w:r>
              <w:rPr>
                <w:b/>
                <w:bCs/>
              </w:rPr>
              <w:t>3</w:t>
            </w:r>
          </w:p>
        </w:tc>
        <w:tc>
          <w:tcPr>
            <w:tcW w:w="883" w:type="dxa"/>
          </w:tcPr>
          <w:p w14:paraId="1E29738A" w14:textId="77777777" w:rsidR="009965E7" w:rsidRDefault="009965E7" w:rsidP="00536FBD">
            <w:pPr>
              <w:spacing w:after="0" w:line="240" w:lineRule="auto"/>
              <w:ind w:right="-27"/>
              <w:jc w:val="center"/>
              <w:cnfStyle w:val="000000100000" w:firstRow="0" w:lastRow="0" w:firstColumn="0" w:lastColumn="0" w:oddVBand="0" w:evenVBand="0" w:oddHBand="1" w:evenHBand="0" w:firstRowFirstColumn="0" w:firstRowLastColumn="0" w:lastRowFirstColumn="0" w:lastRowLastColumn="0"/>
              <w:rPr>
                <w:b/>
                <w:bCs/>
              </w:rPr>
            </w:pPr>
            <w:r>
              <w:rPr>
                <w:b/>
                <w:bCs/>
              </w:rPr>
              <w:t>5</w:t>
            </w:r>
          </w:p>
        </w:tc>
        <w:tc>
          <w:tcPr>
            <w:tcW w:w="984" w:type="dxa"/>
          </w:tcPr>
          <w:p w14:paraId="374238A5" w14:textId="77777777" w:rsidR="009965E7" w:rsidRDefault="009965E7" w:rsidP="00536FBD">
            <w:pPr>
              <w:spacing w:after="0" w:line="240" w:lineRule="auto"/>
              <w:ind w:right="-27"/>
              <w:jc w:val="center"/>
              <w:cnfStyle w:val="000000100000" w:firstRow="0" w:lastRow="0" w:firstColumn="0" w:lastColumn="0" w:oddVBand="0" w:evenVBand="0" w:oddHBand="1" w:evenHBand="0" w:firstRowFirstColumn="0" w:firstRowLastColumn="0" w:lastRowFirstColumn="0" w:lastRowLastColumn="0"/>
              <w:rPr>
                <w:b/>
                <w:bCs/>
              </w:rPr>
            </w:pPr>
            <w:r>
              <w:rPr>
                <w:b/>
                <w:bCs/>
              </w:rPr>
              <w:t>10</w:t>
            </w:r>
          </w:p>
        </w:tc>
        <w:tc>
          <w:tcPr>
            <w:tcW w:w="984" w:type="dxa"/>
          </w:tcPr>
          <w:p w14:paraId="0283DEAC" w14:textId="77777777" w:rsidR="009965E7" w:rsidRDefault="009965E7" w:rsidP="00536FBD">
            <w:pPr>
              <w:spacing w:after="0" w:line="240" w:lineRule="auto"/>
              <w:ind w:right="-27"/>
              <w:jc w:val="center"/>
              <w:cnfStyle w:val="000000100000" w:firstRow="0" w:lastRow="0" w:firstColumn="0" w:lastColumn="0" w:oddVBand="0" w:evenVBand="0" w:oddHBand="1" w:evenHBand="0" w:firstRowFirstColumn="0" w:firstRowLastColumn="0" w:lastRowFirstColumn="0" w:lastRowLastColumn="0"/>
              <w:rPr>
                <w:b/>
                <w:bCs/>
              </w:rPr>
            </w:pPr>
            <w:r>
              <w:rPr>
                <w:b/>
                <w:bCs/>
              </w:rPr>
              <w:t>20</w:t>
            </w:r>
          </w:p>
        </w:tc>
        <w:tc>
          <w:tcPr>
            <w:tcW w:w="1152" w:type="dxa"/>
          </w:tcPr>
          <w:p w14:paraId="18021FF6" w14:textId="77777777" w:rsidR="009965E7" w:rsidRDefault="009965E7" w:rsidP="00536FBD">
            <w:pPr>
              <w:spacing w:after="0" w:line="240" w:lineRule="auto"/>
              <w:ind w:right="-27"/>
              <w:jc w:val="center"/>
              <w:cnfStyle w:val="000000100000" w:firstRow="0" w:lastRow="0" w:firstColumn="0" w:lastColumn="0" w:oddVBand="0" w:evenVBand="0" w:oddHBand="1" w:evenHBand="0" w:firstRowFirstColumn="0" w:firstRowLastColumn="0" w:lastRowFirstColumn="0" w:lastRowLastColumn="0"/>
              <w:rPr>
                <w:b/>
                <w:bCs/>
              </w:rPr>
            </w:pPr>
            <w:r>
              <w:rPr>
                <w:b/>
                <w:bCs/>
              </w:rPr>
              <w:t>30</w:t>
            </w:r>
            <w:bookmarkStart w:id="11" w:name="_Hlk45032378"/>
            <w:bookmarkEnd w:id="11"/>
          </w:p>
        </w:tc>
      </w:tr>
      <w:tr w:rsidR="009965E7" w14:paraId="45507CAB" w14:textId="77777777" w:rsidTr="00536FBD">
        <w:trPr>
          <w:trHeight w:val="39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67A25A06" w14:textId="77777777" w:rsidR="009965E7" w:rsidRDefault="009965E7" w:rsidP="00536FBD">
            <w:pPr>
              <w:spacing w:after="0" w:line="240" w:lineRule="auto"/>
              <w:rPr>
                <w:b w:val="0"/>
                <w:bCs w:val="0"/>
                <w:sz w:val="20"/>
                <w:szCs w:val="20"/>
              </w:rPr>
            </w:pPr>
            <w:r>
              <w:rPr>
                <w:b w:val="0"/>
                <w:bCs w:val="0"/>
              </w:rPr>
              <w:t>NORTH MELBOURNE Houses</w:t>
            </w:r>
          </w:p>
        </w:tc>
        <w:tc>
          <w:tcPr>
            <w:tcW w:w="883" w:type="dxa"/>
            <w:vAlign w:val="center"/>
          </w:tcPr>
          <w:p w14:paraId="5A6483B3"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11.44</w:t>
            </w:r>
          </w:p>
        </w:tc>
        <w:tc>
          <w:tcPr>
            <w:tcW w:w="883" w:type="dxa"/>
            <w:vAlign w:val="center"/>
          </w:tcPr>
          <w:p w14:paraId="5D1D5CF7"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3.28</w:t>
            </w:r>
          </w:p>
        </w:tc>
        <w:tc>
          <w:tcPr>
            <w:tcW w:w="883" w:type="dxa"/>
            <w:vAlign w:val="center"/>
          </w:tcPr>
          <w:p w14:paraId="4A8461FF"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9.37</w:t>
            </w:r>
          </w:p>
        </w:tc>
        <w:tc>
          <w:tcPr>
            <w:tcW w:w="883" w:type="dxa"/>
            <w:vAlign w:val="center"/>
          </w:tcPr>
          <w:p w14:paraId="53B04D8D"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tc>
        <w:tc>
          <w:tcPr>
            <w:tcW w:w="984" w:type="dxa"/>
            <w:vAlign w:val="center"/>
          </w:tcPr>
          <w:p w14:paraId="2D9BF2DD"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66.29</w:t>
            </w:r>
          </w:p>
        </w:tc>
        <w:tc>
          <w:tcPr>
            <w:tcW w:w="984" w:type="dxa"/>
            <w:vAlign w:val="center"/>
          </w:tcPr>
          <w:p w14:paraId="52C0DD8D"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286.46</w:t>
            </w:r>
          </w:p>
        </w:tc>
        <w:tc>
          <w:tcPr>
            <w:tcW w:w="1152" w:type="dxa"/>
            <w:vAlign w:val="center"/>
          </w:tcPr>
          <w:p w14:paraId="4C005F2F"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811.52</w:t>
            </w:r>
          </w:p>
        </w:tc>
      </w:tr>
      <w:tr w:rsidR="009965E7" w14:paraId="6E031567" w14:textId="77777777" w:rsidTr="00536FB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BCB89DB" w14:textId="77777777" w:rsidR="009965E7" w:rsidRDefault="009965E7" w:rsidP="00536FBD">
            <w:pPr>
              <w:spacing w:after="0" w:line="240" w:lineRule="auto"/>
              <w:rPr>
                <w:b w:val="0"/>
                <w:bCs w:val="0"/>
                <w:sz w:val="20"/>
                <w:szCs w:val="20"/>
              </w:rPr>
            </w:pPr>
            <w:r>
              <w:rPr>
                <w:b w:val="0"/>
                <w:bCs w:val="0"/>
              </w:rPr>
              <w:t>Melbourne SUA</w:t>
            </w:r>
          </w:p>
        </w:tc>
        <w:tc>
          <w:tcPr>
            <w:tcW w:w="883" w:type="dxa"/>
            <w:vAlign w:val="center"/>
          </w:tcPr>
          <w:p w14:paraId="0A747951"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12.63</w:t>
            </w:r>
          </w:p>
        </w:tc>
        <w:tc>
          <w:tcPr>
            <w:tcW w:w="883" w:type="dxa"/>
            <w:vAlign w:val="center"/>
          </w:tcPr>
          <w:p w14:paraId="315EDB57"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20.15</w:t>
            </w:r>
          </w:p>
        </w:tc>
        <w:tc>
          <w:tcPr>
            <w:tcW w:w="883" w:type="dxa"/>
            <w:vAlign w:val="center"/>
          </w:tcPr>
          <w:p w14:paraId="1F1153F3"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18.59</w:t>
            </w:r>
          </w:p>
        </w:tc>
        <w:tc>
          <w:tcPr>
            <w:tcW w:w="883" w:type="dxa"/>
            <w:vAlign w:val="center"/>
          </w:tcPr>
          <w:p w14:paraId="76CE65B8"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32.9</w:t>
            </w:r>
          </w:p>
        </w:tc>
        <w:tc>
          <w:tcPr>
            <w:tcW w:w="984" w:type="dxa"/>
            <w:vAlign w:val="center"/>
          </w:tcPr>
          <w:p w14:paraId="672138E1"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61.67</w:t>
            </w:r>
          </w:p>
        </w:tc>
        <w:tc>
          <w:tcPr>
            <w:tcW w:w="984" w:type="dxa"/>
            <w:vAlign w:val="center"/>
          </w:tcPr>
          <w:p w14:paraId="00900574"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264.14</w:t>
            </w:r>
          </w:p>
        </w:tc>
        <w:tc>
          <w:tcPr>
            <w:tcW w:w="1152" w:type="dxa"/>
            <w:vAlign w:val="center"/>
          </w:tcPr>
          <w:p w14:paraId="302DF454"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564.88</w:t>
            </w:r>
          </w:p>
        </w:tc>
      </w:tr>
      <w:tr w:rsidR="009965E7" w14:paraId="28EBA202" w14:textId="77777777" w:rsidTr="00536FBD">
        <w:trPr>
          <w:trHeight w:val="39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0759026D" w14:textId="77777777" w:rsidR="009965E7" w:rsidRDefault="009965E7" w:rsidP="00536FBD">
            <w:pPr>
              <w:spacing w:after="0" w:line="240" w:lineRule="auto"/>
              <w:rPr>
                <w:b w:val="0"/>
                <w:bCs w:val="0"/>
                <w:sz w:val="20"/>
                <w:szCs w:val="20"/>
              </w:rPr>
            </w:pPr>
            <w:r>
              <w:rPr>
                <w:b w:val="0"/>
                <w:bCs w:val="0"/>
              </w:rPr>
              <w:t>Australia</w:t>
            </w:r>
          </w:p>
        </w:tc>
        <w:tc>
          <w:tcPr>
            <w:tcW w:w="883" w:type="dxa"/>
            <w:vAlign w:val="center"/>
          </w:tcPr>
          <w:p w14:paraId="7CBEBDFA"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20.23</w:t>
            </w:r>
          </w:p>
        </w:tc>
        <w:tc>
          <w:tcPr>
            <w:tcW w:w="883" w:type="dxa"/>
            <w:vAlign w:val="center"/>
          </w:tcPr>
          <w:p w14:paraId="3C8B0A5E"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25.45</w:t>
            </w:r>
          </w:p>
        </w:tc>
        <w:tc>
          <w:tcPr>
            <w:tcW w:w="883" w:type="dxa"/>
            <w:vAlign w:val="center"/>
          </w:tcPr>
          <w:p w14:paraId="3D199D61"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16.88</w:t>
            </w:r>
          </w:p>
        </w:tc>
        <w:tc>
          <w:tcPr>
            <w:tcW w:w="883" w:type="dxa"/>
            <w:vAlign w:val="center"/>
          </w:tcPr>
          <w:p w14:paraId="1AB754ED"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15.18</w:t>
            </w:r>
          </w:p>
        </w:tc>
        <w:tc>
          <w:tcPr>
            <w:tcW w:w="984" w:type="dxa"/>
            <w:vAlign w:val="center"/>
          </w:tcPr>
          <w:p w14:paraId="0641D4E7"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27.78</w:t>
            </w:r>
          </w:p>
        </w:tc>
        <w:tc>
          <w:tcPr>
            <w:tcW w:w="984" w:type="dxa"/>
            <w:vAlign w:val="center"/>
          </w:tcPr>
          <w:p w14:paraId="26915C5D"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213.97</w:t>
            </w:r>
          </w:p>
        </w:tc>
        <w:tc>
          <w:tcPr>
            <w:tcW w:w="1152" w:type="dxa"/>
            <w:vAlign w:val="center"/>
          </w:tcPr>
          <w:p w14:paraId="31912956"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366.51</w:t>
            </w:r>
          </w:p>
        </w:tc>
      </w:tr>
    </w:tbl>
    <w:p w14:paraId="72B2F16D" w14:textId="77777777" w:rsidR="009965E7" w:rsidRDefault="009965E7" w:rsidP="009965E7"/>
    <w:p w14:paraId="55E4E678" w14:textId="77777777" w:rsidR="009965E7" w:rsidRDefault="009965E7" w:rsidP="009965E7">
      <w:r>
        <w:t xml:space="preserve">The next table shows these same markets and </w:t>
      </w:r>
      <w:r w:rsidR="00535164">
        <w:t>timeframes</w:t>
      </w:r>
      <w:r>
        <w:t xml:space="preserve"> but with the growth converted to </w:t>
      </w:r>
      <w:r>
        <w:rPr>
          <w:b/>
          <w:bCs/>
        </w:rPr>
        <w:t>compound per annum</w:t>
      </w:r>
      <w:r>
        <w:t>.</w:t>
      </w:r>
    </w:p>
    <w:tbl>
      <w:tblPr>
        <w:tblStyle w:val="ListTable3-Accent1"/>
        <w:tblW w:w="10628" w:type="dxa"/>
        <w:tblLook w:val="04A0" w:firstRow="1" w:lastRow="0" w:firstColumn="1" w:lastColumn="0" w:noHBand="0" w:noVBand="1"/>
      </w:tblPr>
      <w:tblGrid>
        <w:gridCol w:w="3964"/>
        <w:gridCol w:w="892"/>
        <w:gridCol w:w="892"/>
        <w:gridCol w:w="892"/>
        <w:gridCol w:w="892"/>
        <w:gridCol w:w="993"/>
        <w:gridCol w:w="993"/>
        <w:gridCol w:w="1110"/>
      </w:tblGrid>
      <w:tr w:rsidR="009965E7" w14:paraId="01682B8B" w14:textId="77777777" w:rsidTr="00536FB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4" w:type="dxa"/>
            <w:vMerge w:val="restart"/>
          </w:tcPr>
          <w:p w14:paraId="496A7DCF" w14:textId="77777777" w:rsidR="009965E7" w:rsidRDefault="009965E7" w:rsidP="00536FBD">
            <w:pPr>
              <w:spacing w:after="0"/>
              <w:jc w:val="center"/>
              <w:rPr>
                <w:b w:val="0"/>
                <w:bCs w:val="0"/>
              </w:rPr>
            </w:pPr>
            <w:r>
              <w:rPr>
                <w:b w:val="0"/>
                <w:bCs w:val="0"/>
              </w:rPr>
              <w:t>Name</w:t>
            </w:r>
          </w:p>
        </w:tc>
        <w:tc>
          <w:tcPr>
            <w:tcW w:w="6664" w:type="dxa"/>
            <w:gridSpan w:val="7"/>
          </w:tcPr>
          <w:p w14:paraId="15693D7A" w14:textId="77777777" w:rsidR="009965E7" w:rsidRDefault="009965E7" w:rsidP="00536FBD">
            <w:pPr>
              <w:keepNext/>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t>Compound growth per annum last N years %</w:t>
            </w:r>
          </w:p>
        </w:tc>
      </w:tr>
      <w:tr w:rsidR="009965E7" w14:paraId="391CF277"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vMerge/>
          </w:tcPr>
          <w:p w14:paraId="145B2C25" w14:textId="77777777" w:rsidR="009965E7" w:rsidRDefault="009965E7" w:rsidP="00536FBD">
            <w:pPr>
              <w:spacing w:after="0"/>
              <w:jc w:val="center"/>
              <w:rPr>
                <w:b w:val="0"/>
                <w:bCs w:val="0"/>
              </w:rPr>
            </w:pPr>
          </w:p>
        </w:tc>
        <w:tc>
          <w:tcPr>
            <w:tcW w:w="892" w:type="dxa"/>
          </w:tcPr>
          <w:p w14:paraId="08B94736"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b/>
                <w:bCs/>
              </w:rPr>
            </w:pPr>
            <w:r>
              <w:rPr>
                <w:b/>
                <w:bCs/>
              </w:rPr>
              <w:t>1</w:t>
            </w:r>
          </w:p>
        </w:tc>
        <w:tc>
          <w:tcPr>
            <w:tcW w:w="892" w:type="dxa"/>
          </w:tcPr>
          <w:p w14:paraId="46ED9156"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b/>
                <w:bCs/>
              </w:rPr>
            </w:pPr>
            <w:r>
              <w:rPr>
                <w:b/>
                <w:bCs/>
              </w:rPr>
              <w:t>2</w:t>
            </w:r>
          </w:p>
        </w:tc>
        <w:tc>
          <w:tcPr>
            <w:tcW w:w="892" w:type="dxa"/>
          </w:tcPr>
          <w:p w14:paraId="22ED609B"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b/>
                <w:bCs/>
              </w:rPr>
            </w:pPr>
            <w:r>
              <w:rPr>
                <w:b/>
                <w:bCs/>
              </w:rPr>
              <w:t>3</w:t>
            </w:r>
          </w:p>
        </w:tc>
        <w:tc>
          <w:tcPr>
            <w:tcW w:w="892" w:type="dxa"/>
          </w:tcPr>
          <w:p w14:paraId="079FD9B4"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b/>
                <w:bCs/>
              </w:rPr>
            </w:pPr>
            <w:r>
              <w:rPr>
                <w:b/>
                <w:bCs/>
              </w:rPr>
              <w:t>5</w:t>
            </w:r>
          </w:p>
        </w:tc>
        <w:tc>
          <w:tcPr>
            <w:tcW w:w="993" w:type="dxa"/>
          </w:tcPr>
          <w:p w14:paraId="1A6F7522"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b/>
                <w:bCs/>
              </w:rPr>
            </w:pPr>
            <w:r>
              <w:rPr>
                <w:b/>
                <w:bCs/>
              </w:rPr>
              <w:t>10</w:t>
            </w:r>
          </w:p>
        </w:tc>
        <w:tc>
          <w:tcPr>
            <w:tcW w:w="993" w:type="dxa"/>
          </w:tcPr>
          <w:p w14:paraId="40ED494E"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b/>
                <w:bCs/>
              </w:rPr>
            </w:pPr>
            <w:r>
              <w:rPr>
                <w:b/>
                <w:bCs/>
              </w:rPr>
              <w:t>20</w:t>
            </w:r>
          </w:p>
        </w:tc>
        <w:tc>
          <w:tcPr>
            <w:tcW w:w="1110" w:type="dxa"/>
          </w:tcPr>
          <w:p w14:paraId="6A2218C3"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b/>
                <w:bCs/>
              </w:rPr>
            </w:pPr>
            <w:r>
              <w:rPr>
                <w:b/>
                <w:bCs/>
              </w:rPr>
              <w:t>30</w:t>
            </w:r>
          </w:p>
        </w:tc>
      </w:tr>
      <w:tr w:rsidR="009965E7" w14:paraId="6A363E99" w14:textId="77777777" w:rsidTr="00536FBD">
        <w:trPr>
          <w:trHeight w:val="39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68EA236" w14:textId="77777777" w:rsidR="009965E7" w:rsidRDefault="009965E7" w:rsidP="00536FBD">
            <w:pPr>
              <w:spacing w:after="0" w:line="240" w:lineRule="auto"/>
              <w:rPr>
                <w:b w:val="0"/>
                <w:bCs w:val="0"/>
                <w:sz w:val="20"/>
                <w:szCs w:val="20"/>
              </w:rPr>
            </w:pPr>
            <w:r>
              <w:rPr>
                <w:b w:val="0"/>
                <w:bCs w:val="0"/>
              </w:rPr>
              <w:t>NORTH MELBOURNE Houses</w:t>
            </w:r>
          </w:p>
        </w:tc>
        <w:tc>
          <w:tcPr>
            <w:tcW w:w="892" w:type="dxa"/>
            <w:vAlign w:val="center"/>
          </w:tcPr>
          <w:p w14:paraId="48F1C96F"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11.44</w:t>
            </w:r>
          </w:p>
        </w:tc>
        <w:tc>
          <w:tcPr>
            <w:tcW w:w="892" w:type="dxa"/>
            <w:vAlign w:val="center"/>
          </w:tcPr>
          <w:p w14:paraId="7EC97CAA"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1.63</w:t>
            </w:r>
          </w:p>
        </w:tc>
        <w:tc>
          <w:tcPr>
            <w:tcW w:w="892" w:type="dxa"/>
            <w:vAlign w:val="center"/>
          </w:tcPr>
          <w:p w14:paraId="12C081B1"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3.03</w:t>
            </w:r>
          </w:p>
        </w:tc>
        <w:tc>
          <w:tcPr>
            <w:tcW w:w="892" w:type="dxa"/>
            <w:vAlign w:val="center"/>
          </w:tcPr>
          <w:p w14:paraId="7E3C278F"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2.49</w:t>
            </w:r>
          </w:p>
        </w:tc>
        <w:tc>
          <w:tcPr>
            <w:tcW w:w="993" w:type="dxa"/>
            <w:vAlign w:val="center"/>
          </w:tcPr>
          <w:p w14:paraId="64C684FE"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5.22</w:t>
            </w:r>
          </w:p>
        </w:tc>
        <w:tc>
          <w:tcPr>
            <w:tcW w:w="993" w:type="dxa"/>
            <w:vAlign w:val="center"/>
          </w:tcPr>
          <w:p w14:paraId="2EE901C8"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6.99</w:t>
            </w:r>
          </w:p>
        </w:tc>
        <w:tc>
          <w:tcPr>
            <w:tcW w:w="1110" w:type="dxa"/>
            <w:vAlign w:val="center"/>
          </w:tcPr>
          <w:p w14:paraId="3BF612A6"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7.64</w:t>
            </w:r>
          </w:p>
        </w:tc>
      </w:tr>
      <w:tr w:rsidR="009965E7" w14:paraId="3CADFD60" w14:textId="77777777" w:rsidTr="00536FB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E0C5AAF" w14:textId="77777777" w:rsidR="009965E7" w:rsidRDefault="009965E7" w:rsidP="00536FBD">
            <w:pPr>
              <w:spacing w:after="0" w:line="240" w:lineRule="auto"/>
              <w:rPr>
                <w:b w:val="0"/>
                <w:bCs w:val="0"/>
                <w:sz w:val="20"/>
                <w:szCs w:val="20"/>
              </w:rPr>
            </w:pPr>
            <w:r>
              <w:rPr>
                <w:b w:val="0"/>
                <w:bCs w:val="0"/>
              </w:rPr>
              <w:t>Melbourne SUA</w:t>
            </w:r>
          </w:p>
        </w:tc>
        <w:tc>
          <w:tcPr>
            <w:tcW w:w="892" w:type="dxa"/>
            <w:vAlign w:val="center"/>
          </w:tcPr>
          <w:p w14:paraId="7AFFC303"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12.63</w:t>
            </w:r>
          </w:p>
        </w:tc>
        <w:tc>
          <w:tcPr>
            <w:tcW w:w="892" w:type="dxa"/>
            <w:vAlign w:val="center"/>
          </w:tcPr>
          <w:p w14:paraId="40E94952"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9.61</w:t>
            </w:r>
          </w:p>
        </w:tc>
        <w:tc>
          <w:tcPr>
            <w:tcW w:w="892" w:type="dxa"/>
            <w:vAlign w:val="center"/>
          </w:tcPr>
          <w:p w14:paraId="50AE92C0"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5.85</w:t>
            </w:r>
          </w:p>
        </w:tc>
        <w:tc>
          <w:tcPr>
            <w:tcW w:w="892" w:type="dxa"/>
            <w:vAlign w:val="center"/>
          </w:tcPr>
          <w:p w14:paraId="54409FEC"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5.85</w:t>
            </w:r>
          </w:p>
        </w:tc>
        <w:tc>
          <w:tcPr>
            <w:tcW w:w="993" w:type="dxa"/>
            <w:vAlign w:val="center"/>
          </w:tcPr>
          <w:p w14:paraId="4E440836"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4.92</w:t>
            </w:r>
          </w:p>
        </w:tc>
        <w:tc>
          <w:tcPr>
            <w:tcW w:w="993" w:type="dxa"/>
            <w:vAlign w:val="center"/>
          </w:tcPr>
          <w:p w14:paraId="22FBD38A"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6.68</w:t>
            </w:r>
          </w:p>
        </w:tc>
        <w:tc>
          <w:tcPr>
            <w:tcW w:w="1110" w:type="dxa"/>
            <w:vAlign w:val="center"/>
          </w:tcPr>
          <w:p w14:paraId="31EF1965" w14:textId="77777777" w:rsidR="009965E7" w:rsidRDefault="009965E7" w:rsidP="00536FBD">
            <w:pPr>
              <w:spacing w:after="0" w:line="240" w:lineRule="auto"/>
              <w:ind w:right="-27"/>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6.52</w:t>
            </w:r>
          </w:p>
        </w:tc>
      </w:tr>
      <w:tr w:rsidR="009965E7" w14:paraId="2DB41867" w14:textId="77777777" w:rsidTr="00536FBD">
        <w:trPr>
          <w:trHeight w:val="397"/>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79DE22DD" w14:textId="77777777" w:rsidR="009965E7" w:rsidRDefault="009965E7" w:rsidP="00536FBD">
            <w:pPr>
              <w:spacing w:after="0" w:line="240" w:lineRule="auto"/>
              <w:rPr>
                <w:b w:val="0"/>
                <w:bCs w:val="0"/>
                <w:sz w:val="20"/>
                <w:szCs w:val="20"/>
              </w:rPr>
            </w:pPr>
            <w:r>
              <w:rPr>
                <w:b w:val="0"/>
                <w:bCs w:val="0"/>
              </w:rPr>
              <w:t>Australia</w:t>
            </w:r>
          </w:p>
        </w:tc>
        <w:tc>
          <w:tcPr>
            <w:tcW w:w="892" w:type="dxa"/>
            <w:vAlign w:val="center"/>
          </w:tcPr>
          <w:p w14:paraId="59EC7411"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20.23</w:t>
            </w:r>
          </w:p>
        </w:tc>
        <w:tc>
          <w:tcPr>
            <w:tcW w:w="892" w:type="dxa"/>
            <w:vAlign w:val="center"/>
          </w:tcPr>
          <w:p w14:paraId="5F2D8CB6"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12.01</w:t>
            </w:r>
          </w:p>
        </w:tc>
        <w:tc>
          <w:tcPr>
            <w:tcW w:w="892" w:type="dxa"/>
            <w:vAlign w:val="center"/>
          </w:tcPr>
          <w:p w14:paraId="717C0877"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5.34</w:t>
            </w:r>
          </w:p>
        </w:tc>
        <w:tc>
          <w:tcPr>
            <w:tcW w:w="892" w:type="dxa"/>
            <w:vAlign w:val="center"/>
          </w:tcPr>
          <w:p w14:paraId="3E5DC214"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2.87</w:t>
            </w:r>
          </w:p>
        </w:tc>
        <w:tc>
          <w:tcPr>
            <w:tcW w:w="993" w:type="dxa"/>
            <w:vAlign w:val="center"/>
          </w:tcPr>
          <w:p w14:paraId="2DEB550E"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2.48</w:t>
            </w:r>
          </w:p>
        </w:tc>
        <w:tc>
          <w:tcPr>
            <w:tcW w:w="993" w:type="dxa"/>
            <w:vAlign w:val="center"/>
          </w:tcPr>
          <w:p w14:paraId="382AC11E"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5.89</w:t>
            </w:r>
          </w:p>
        </w:tc>
        <w:tc>
          <w:tcPr>
            <w:tcW w:w="1110" w:type="dxa"/>
            <w:vAlign w:val="center"/>
          </w:tcPr>
          <w:p w14:paraId="5B3F7D3B" w14:textId="77777777" w:rsidR="009965E7" w:rsidRDefault="009965E7" w:rsidP="00536FBD">
            <w:pPr>
              <w:spacing w:after="0" w:line="240" w:lineRule="auto"/>
              <w:ind w:right="-27"/>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5.27</w:t>
            </w:r>
          </w:p>
        </w:tc>
      </w:tr>
    </w:tbl>
    <w:p w14:paraId="7118E455" w14:textId="77777777" w:rsidR="009965E7" w:rsidRDefault="009965E7" w:rsidP="009965E7"/>
    <w:p w14:paraId="62FC8491" w14:textId="77777777" w:rsidR="009965E7" w:rsidRDefault="009965E7" w:rsidP="009965E7">
      <w:pPr>
        <w:spacing w:before="57" w:after="113"/>
      </w:pPr>
      <w:r>
        <w:br w:type="page"/>
      </w:r>
    </w:p>
    <w:p w14:paraId="0C7699E7" w14:textId="77777777" w:rsidR="009965E7" w:rsidRDefault="009965E7" w:rsidP="009965E7">
      <w:pPr>
        <w:pStyle w:val="Heading2"/>
        <w:spacing w:before="0"/>
      </w:pPr>
      <w:bookmarkStart w:id="12" w:name="_Toc1637625179105"/>
      <w:r>
        <w:lastRenderedPageBreak/>
        <w:t>Days on market</w:t>
      </w:r>
      <w:bookmarkEnd w:id="12"/>
      <w:r>
        <w:t xml:space="preserve"> (DOM)</w:t>
      </w:r>
    </w:p>
    <w:p w14:paraId="3CFAE39F" w14:textId="77777777" w:rsidR="009965E7" w:rsidRDefault="009965E7" w:rsidP="009965E7">
      <w:r>
        <w:t xml:space="preserve">The count of the number of days a property is listed for sale before eventually selling. </w:t>
      </w:r>
      <w:hyperlink r:id="rId42" w:tgtFrame="_blank" w:history="1">
        <w:r w:rsidR="00DA3B3A" w:rsidRPr="00052F25">
          <w:rPr>
            <w:rStyle w:val="Hyperlink"/>
          </w:rPr>
          <w:t>Read more about this metric</w:t>
        </w:r>
      </w:hyperlink>
      <w:r>
        <w:t>.</w:t>
      </w:r>
    </w:p>
    <w:p w14:paraId="7FFB2725"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DOM for NORTH MELBOURNE Houses for the month ending 31 October 2021 was </w:t>
      </w:r>
      <w:r>
        <w:rPr>
          <w:b/>
          <w:bCs/>
        </w:rPr>
        <w:t>52 days</w:t>
      </w:r>
      <w:r>
        <w:t>.</w:t>
      </w:r>
    </w:p>
    <w:p w14:paraId="6119B538" w14:textId="77777777" w:rsidR="009965E7" w:rsidRDefault="009965E7" w:rsidP="009965E7">
      <w:r>
        <w:t xml:space="preserve">The minimum DOM for the country as at 31 October 2021 was 1 days while the maximum was 999 days. The median DOM for the same period was 48 days and the average was 73 days. This can be visualised in the </w:t>
      </w:r>
      <w:hyperlink r:id="rId43">
        <w:r>
          <w:rPr>
            <w:rStyle w:val="Hyperlink"/>
          </w:rPr>
          <w:t>Context Ruler</w:t>
        </w:r>
      </w:hyperlink>
      <w:r>
        <w:t xml:space="preserve"> Infographic which follows.</w:t>
      </w:r>
      <w:r w:rsidRPr="0027283B">
        <w:t xml:space="preserve"> </w:t>
      </w:r>
    </w:p>
    <w:p w14:paraId="324A0C12" w14:textId="77777777" w:rsidR="009965E7" w:rsidRDefault="009965E7" w:rsidP="009965E7">
      <w:pPr>
        <w:jc w:val="center"/>
      </w:pPr>
      <w:r>
        <w:rPr>
          <w:noProof/>
        </w:rPr>
        <w:drawing>
          <wp:inline distT="0" distB="0" distL="0" distR="0" wp14:anchorId="5775F9E9" wp14:editId="64013E6D">
            <wp:extent cx="6019800" cy="1914525"/>
            <wp:effectExtent l="0" t="0" r="0" b="0"/>
            <wp:docPr id="2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5DBDE980" w14:textId="77777777" w:rsidR="009965E7" w:rsidRDefault="009965E7" w:rsidP="009965E7">
      <w:r>
        <w:t>The following chart shows the recent history of changes in the DOM.</w:t>
      </w:r>
    </w:p>
    <w:p w14:paraId="59B3C0F8" w14:textId="77777777" w:rsidR="009965E7" w:rsidRDefault="009965E7" w:rsidP="009965E7">
      <w:pPr>
        <w:jc w:val="center"/>
      </w:pPr>
      <w:r>
        <w:rPr>
          <w:noProof/>
        </w:rPr>
        <w:drawing>
          <wp:inline distT="0" distB="0" distL="0" distR="0" wp14:anchorId="1EC4D330" wp14:editId="7FE68803">
            <wp:extent cx="6724650" cy="3429000"/>
            <wp:effectExtent l="0" t="0" r="0" b="0"/>
            <wp:docPr id="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FED264" w14:textId="77777777" w:rsidR="009965E7" w:rsidRDefault="009965E7" w:rsidP="009965E7">
      <w:r>
        <w:t>Note that gaps may appear in the history where data was unavailable for those months.</w:t>
      </w:r>
    </w:p>
    <w:p w14:paraId="4DDA4089" w14:textId="77777777" w:rsidR="009965E7" w:rsidRDefault="009965E7" w:rsidP="009965E7">
      <w:pPr>
        <w:spacing w:before="57" w:after="113"/>
      </w:pPr>
      <w:r>
        <w:br w:type="page"/>
      </w:r>
    </w:p>
    <w:p w14:paraId="48EAAB6D" w14:textId="77777777" w:rsidR="009965E7" w:rsidRDefault="009965E7" w:rsidP="009965E7">
      <w:pPr>
        <w:pStyle w:val="Heading2"/>
        <w:spacing w:before="0"/>
      </w:pPr>
      <w:bookmarkStart w:id="13" w:name="_Toc1637625179106"/>
      <w:r>
        <w:lastRenderedPageBreak/>
        <w:t>Avg vendor discount</w:t>
      </w:r>
      <w:bookmarkEnd w:id="13"/>
      <w:r>
        <w:t xml:space="preserve"> (DISCOUNT)</w:t>
      </w:r>
    </w:p>
    <w:p w14:paraId="6DBF3E66" w14:textId="77777777" w:rsidR="009965E7" w:rsidRDefault="009965E7" w:rsidP="009965E7">
      <w:r>
        <w:t xml:space="preserve">The % difference between the original asking price and the eventual sale price. </w:t>
      </w:r>
      <w:hyperlink r:id="rId46" w:tgtFrame="_blank" w:history="1">
        <w:r w:rsidR="00DA3B3A" w:rsidRPr="00052F25">
          <w:rPr>
            <w:rStyle w:val="Hyperlink"/>
          </w:rPr>
          <w:t>Read more about this metric</w:t>
        </w:r>
      </w:hyperlink>
      <w:r>
        <w:t>.</w:t>
      </w:r>
    </w:p>
    <w:p w14:paraId="5CC9CC09"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DISCOUNT for NORTH MELBOURNE Houses for the month ending 31 October 2021 was </w:t>
      </w:r>
      <w:r>
        <w:rPr>
          <w:b/>
          <w:bCs/>
        </w:rPr>
        <w:t>4.69%</w:t>
      </w:r>
      <w:r>
        <w:t>.</w:t>
      </w:r>
    </w:p>
    <w:p w14:paraId="44A54E36" w14:textId="77777777" w:rsidR="009965E7" w:rsidRDefault="009965E7" w:rsidP="009965E7">
      <w:r>
        <w:t xml:space="preserve">The minimum DISCOUNT for the country as at 31 October 2021 was -3.25% while the maximum was 21.75%. The median DISCOUNT for the same period was 2.51% and the average was 2.67%. This can be visualised in the </w:t>
      </w:r>
      <w:hyperlink r:id="rId47">
        <w:r>
          <w:rPr>
            <w:rStyle w:val="Hyperlink"/>
          </w:rPr>
          <w:t>Context Ruler</w:t>
        </w:r>
      </w:hyperlink>
      <w:r>
        <w:t xml:space="preserve"> Infographic which follows.</w:t>
      </w:r>
      <w:r w:rsidRPr="0027283B">
        <w:t xml:space="preserve"> </w:t>
      </w:r>
    </w:p>
    <w:p w14:paraId="14B63866" w14:textId="77777777" w:rsidR="009965E7" w:rsidRDefault="009965E7" w:rsidP="009965E7">
      <w:pPr>
        <w:jc w:val="center"/>
      </w:pPr>
      <w:r>
        <w:rPr>
          <w:noProof/>
        </w:rPr>
        <w:drawing>
          <wp:inline distT="0" distB="0" distL="0" distR="0" wp14:anchorId="49FCE868" wp14:editId="066CA771">
            <wp:extent cx="6019800" cy="1914525"/>
            <wp:effectExtent l="0" t="0" r="0" b="0"/>
            <wp:docPr id="30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2D9E5F2C" w14:textId="77777777" w:rsidR="009965E7" w:rsidRDefault="009965E7" w:rsidP="009965E7">
      <w:r>
        <w:t>The following chart shows the recent history of changes in the DISCOUNT.</w:t>
      </w:r>
    </w:p>
    <w:p w14:paraId="2FB5E4B7" w14:textId="77777777" w:rsidR="009965E7" w:rsidRDefault="009965E7" w:rsidP="009965E7">
      <w:pPr>
        <w:jc w:val="center"/>
      </w:pPr>
      <w:r>
        <w:rPr>
          <w:noProof/>
        </w:rPr>
        <w:drawing>
          <wp:inline distT="0" distB="0" distL="0" distR="0" wp14:anchorId="11603C5F" wp14:editId="33F8C355">
            <wp:extent cx="6724650" cy="3429000"/>
            <wp:effectExtent l="0" t="0" r="0" b="0"/>
            <wp:docPr id="2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0141020" w14:textId="77777777" w:rsidR="009965E7" w:rsidRDefault="009965E7" w:rsidP="009965E7">
      <w:r>
        <w:t>Note that gaps may appear in the history where data was unavailable for those months.</w:t>
      </w:r>
    </w:p>
    <w:p w14:paraId="4CBB9F0C" w14:textId="77777777" w:rsidR="009965E7" w:rsidRDefault="009965E7" w:rsidP="009965E7">
      <w:pPr>
        <w:spacing w:before="57" w:after="113"/>
      </w:pPr>
      <w:r>
        <w:br w:type="page"/>
      </w:r>
    </w:p>
    <w:p w14:paraId="54D18046" w14:textId="77777777" w:rsidR="009965E7" w:rsidRDefault="009965E7" w:rsidP="009965E7">
      <w:pPr>
        <w:pStyle w:val="Heading2"/>
        <w:spacing w:before="0"/>
      </w:pPr>
      <w:bookmarkStart w:id="14" w:name="_Toc1637625179107"/>
      <w:r>
        <w:lastRenderedPageBreak/>
        <w:t>Auction clearance rate</w:t>
      </w:r>
      <w:bookmarkEnd w:id="14"/>
      <w:r>
        <w:t xml:space="preserve"> (ACR)</w:t>
      </w:r>
    </w:p>
    <w:p w14:paraId="0432F35F" w14:textId="77777777" w:rsidR="009965E7" w:rsidRDefault="009965E7" w:rsidP="009965E7">
      <w:r>
        <w:t xml:space="preserve">The % of properties for sale by auction that actually sell during the auction. </w:t>
      </w:r>
      <w:hyperlink r:id="rId50" w:tgtFrame="_blank" w:history="1">
        <w:r w:rsidR="00DA3B3A" w:rsidRPr="00052F25">
          <w:rPr>
            <w:rStyle w:val="Hyperlink"/>
          </w:rPr>
          <w:t>Read more about this metric</w:t>
        </w:r>
      </w:hyperlink>
      <w:r>
        <w:t>.</w:t>
      </w:r>
    </w:p>
    <w:p w14:paraId="31AF333E"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ACR for NORTH MELBOURNE Houses for the month ending 31 October 2021 was </w:t>
      </w:r>
      <w:r>
        <w:rPr>
          <w:b/>
          <w:bCs/>
        </w:rPr>
        <w:t>85.7%</w:t>
      </w:r>
      <w:r>
        <w:t>.</w:t>
      </w:r>
    </w:p>
    <w:p w14:paraId="294DA00D" w14:textId="77777777" w:rsidR="009965E7" w:rsidRDefault="009965E7" w:rsidP="009965E7">
      <w:r>
        <w:t xml:space="preserve">The minimum ACR for the country as at 31 October 2021 was 0% while the maximum was 100%. The median ACR for the same period was 100% and the average was 91.29%. This can be visualised in the </w:t>
      </w:r>
      <w:hyperlink r:id="rId51">
        <w:r>
          <w:rPr>
            <w:rStyle w:val="Hyperlink"/>
          </w:rPr>
          <w:t>Context Ruler</w:t>
        </w:r>
      </w:hyperlink>
      <w:r>
        <w:t xml:space="preserve"> Infographic which follows.</w:t>
      </w:r>
      <w:r w:rsidRPr="0027283B">
        <w:t xml:space="preserve"> </w:t>
      </w:r>
    </w:p>
    <w:p w14:paraId="2201D3FD" w14:textId="77777777" w:rsidR="009965E7" w:rsidRDefault="009965E7" w:rsidP="009965E7">
      <w:pPr>
        <w:jc w:val="center"/>
      </w:pPr>
      <w:r>
        <w:rPr>
          <w:noProof/>
        </w:rPr>
        <w:drawing>
          <wp:inline distT="0" distB="0" distL="0" distR="0" wp14:anchorId="696A5DE8" wp14:editId="30A178CE">
            <wp:extent cx="6019800" cy="1914525"/>
            <wp:effectExtent l="0" t="0" r="0" b="0"/>
            <wp:docPr id="3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3B2E4C67" w14:textId="77777777" w:rsidR="009965E7" w:rsidRDefault="009965E7" w:rsidP="009965E7">
      <w:r>
        <w:t>The following chart shows the recent history of changes in the ACR.</w:t>
      </w:r>
    </w:p>
    <w:p w14:paraId="7A35EDCC" w14:textId="77777777" w:rsidR="009965E7" w:rsidRDefault="009965E7" w:rsidP="009965E7">
      <w:pPr>
        <w:jc w:val="center"/>
      </w:pPr>
      <w:r>
        <w:rPr>
          <w:noProof/>
        </w:rPr>
        <w:drawing>
          <wp:inline distT="0" distB="0" distL="0" distR="0" wp14:anchorId="3DA4436A" wp14:editId="61BB0569">
            <wp:extent cx="6724650" cy="3429000"/>
            <wp:effectExtent l="0" t="0" r="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1F097E9" w14:textId="77777777" w:rsidR="009965E7" w:rsidRDefault="009965E7" w:rsidP="009965E7">
      <w:r>
        <w:t>Note that gaps may appear in the history where data was unavailable for those months.</w:t>
      </w:r>
    </w:p>
    <w:p w14:paraId="06006F3C" w14:textId="77777777" w:rsidR="009965E7" w:rsidRDefault="009965E7" w:rsidP="009965E7">
      <w:pPr>
        <w:spacing w:before="57" w:after="113"/>
      </w:pPr>
      <w:r>
        <w:br w:type="page"/>
      </w:r>
    </w:p>
    <w:p w14:paraId="59B7FD01" w14:textId="77777777" w:rsidR="009965E7" w:rsidRDefault="009965E7" w:rsidP="009965E7">
      <w:pPr>
        <w:pStyle w:val="Heading2"/>
        <w:spacing w:before="0"/>
      </w:pPr>
      <w:bookmarkStart w:id="15" w:name="_Toc1637625179108"/>
      <w:r>
        <w:lastRenderedPageBreak/>
        <w:t>Percent renters in market</w:t>
      </w:r>
      <w:bookmarkEnd w:id="15"/>
      <w:r>
        <w:t xml:space="preserve"> (RENTERS)</w:t>
      </w:r>
    </w:p>
    <w:p w14:paraId="027206A5" w14:textId="77777777" w:rsidR="009965E7" w:rsidRDefault="009965E7" w:rsidP="009965E7">
      <w:r>
        <w:t xml:space="preserve">The % of renters in the market as opposed to owner-occupiers and all other resident types. </w:t>
      </w:r>
      <w:hyperlink r:id="rId54" w:tgtFrame="_blank" w:history="1">
        <w:r w:rsidR="00DA3B3A" w:rsidRPr="00052F25">
          <w:rPr>
            <w:rStyle w:val="Hyperlink"/>
          </w:rPr>
          <w:t>Read more about this metric</w:t>
        </w:r>
      </w:hyperlink>
      <w:r>
        <w:t>.</w:t>
      </w:r>
    </w:p>
    <w:p w14:paraId="6B7592B9"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RENTERS for NORTH MELBOURNE Houses for the month ending 31 October 2021 was </w:t>
      </w:r>
      <w:r>
        <w:rPr>
          <w:b/>
          <w:bCs/>
        </w:rPr>
        <w:t>70.3%</w:t>
      </w:r>
      <w:r>
        <w:t>.</w:t>
      </w:r>
    </w:p>
    <w:p w14:paraId="188AB88D" w14:textId="77777777" w:rsidR="009965E7" w:rsidRDefault="009965E7" w:rsidP="009965E7">
      <w:r>
        <w:t xml:space="preserve">The minimum RENTERS for the country as at 31 October 2021 was 0% while the maximum was 100%. The median RENTERS for the same period was 28.3% and the average was 30.27%. This can be visualised in the </w:t>
      </w:r>
      <w:hyperlink r:id="rId55">
        <w:r>
          <w:rPr>
            <w:rStyle w:val="Hyperlink"/>
          </w:rPr>
          <w:t>Context Ruler</w:t>
        </w:r>
      </w:hyperlink>
      <w:r>
        <w:t xml:space="preserve"> Infographic which follows.</w:t>
      </w:r>
      <w:r w:rsidRPr="0027283B">
        <w:t xml:space="preserve"> </w:t>
      </w:r>
    </w:p>
    <w:p w14:paraId="1CD6AEA6" w14:textId="77777777" w:rsidR="009965E7" w:rsidRDefault="009965E7" w:rsidP="009965E7">
      <w:pPr>
        <w:jc w:val="center"/>
      </w:pPr>
      <w:r>
        <w:rPr>
          <w:noProof/>
        </w:rPr>
        <w:drawing>
          <wp:inline distT="0" distB="0" distL="0" distR="0" wp14:anchorId="5ECB670F" wp14:editId="3C3D8317">
            <wp:extent cx="6019800" cy="1914525"/>
            <wp:effectExtent l="0" t="0" r="0" b="0"/>
            <wp:docPr id="38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72F6DD55" w14:textId="77777777" w:rsidR="009965E7" w:rsidRDefault="009965E7" w:rsidP="009965E7">
      <w:r>
        <w:t>The following chart shows the recent history of changes in the RENTERS.</w:t>
      </w:r>
    </w:p>
    <w:p w14:paraId="03960D94" w14:textId="77777777" w:rsidR="009965E7" w:rsidRDefault="009965E7" w:rsidP="009965E7">
      <w:pPr>
        <w:jc w:val="center"/>
      </w:pPr>
      <w:r>
        <w:rPr>
          <w:noProof/>
        </w:rPr>
        <w:drawing>
          <wp:inline distT="0" distB="0" distL="0" distR="0" wp14:anchorId="1EDADEA0" wp14:editId="4D9B6EB9">
            <wp:extent cx="6724650" cy="3429000"/>
            <wp:effectExtent l="0" t="0" r="0" b="0"/>
            <wp:docPr id="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E939872" w14:textId="77777777" w:rsidR="009965E7" w:rsidRDefault="009965E7" w:rsidP="009965E7">
      <w:r>
        <w:t>Note that gaps may appear in the history where data was unavailable for those months.</w:t>
      </w:r>
    </w:p>
    <w:p w14:paraId="6F4C114C" w14:textId="77777777" w:rsidR="009965E7" w:rsidRDefault="009965E7" w:rsidP="009965E7">
      <w:pPr>
        <w:spacing w:before="57" w:after="113"/>
      </w:pPr>
      <w:r>
        <w:br w:type="page"/>
      </w:r>
    </w:p>
    <w:p w14:paraId="5440802D" w14:textId="77777777" w:rsidR="009965E7" w:rsidRDefault="009965E7" w:rsidP="009965E7">
      <w:pPr>
        <w:pStyle w:val="Heading2"/>
        <w:spacing w:before="0"/>
      </w:pPr>
      <w:bookmarkStart w:id="16" w:name="_Toc1637625179109"/>
      <w:r>
        <w:lastRenderedPageBreak/>
        <w:t>Vacancy rate</w:t>
      </w:r>
      <w:bookmarkEnd w:id="16"/>
      <w:r>
        <w:t xml:space="preserve"> (VACANCY)</w:t>
      </w:r>
    </w:p>
    <w:p w14:paraId="49822A05" w14:textId="77777777" w:rsidR="009965E7" w:rsidRDefault="009965E7" w:rsidP="009965E7">
      <w:r>
        <w:t xml:space="preserve">The % of rental properties currently unoccupied. </w:t>
      </w:r>
      <w:hyperlink r:id="rId58" w:tgtFrame="_blank" w:history="1">
        <w:r w:rsidR="00DA3B3A" w:rsidRPr="00052F25">
          <w:rPr>
            <w:rStyle w:val="Hyperlink"/>
          </w:rPr>
          <w:t>Read more about this metric</w:t>
        </w:r>
      </w:hyperlink>
      <w:r>
        <w:t>.</w:t>
      </w:r>
    </w:p>
    <w:p w14:paraId="2192DC55"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VACANCY for NORTH MELBOURNE Houses for the month ending 31 October 2021 was </w:t>
      </w:r>
      <w:r>
        <w:rPr>
          <w:b/>
          <w:bCs/>
        </w:rPr>
        <w:t>2.3%</w:t>
      </w:r>
      <w:r>
        <w:t>.</w:t>
      </w:r>
    </w:p>
    <w:p w14:paraId="1A1B6C8B" w14:textId="77777777" w:rsidR="009965E7" w:rsidRDefault="009965E7" w:rsidP="009965E7">
      <w:r>
        <w:t xml:space="preserve">The minimum VACANCY for the country as at 31 October 2021 was 0% while the maximum was 25%. The median VACANCY for the same period was 0.66% and the average was 1.23%. This can be visualised in the </w:t>
      </w:r>
      <w:hyperlink r:id="rId59">
        <w:r>
          <w:rPr>
            <w:rStyle w:val="Hyperlink"/>
          </w:rPr>
          <w:t>Context Ruler</w:t>
        </w:r>
      </w:hyperlink>
      <w:r>
        <w:t xml:space="preserve"> Infographic which follows.</w:t>
      </w:r>
      <w:r w:rsidRPr="0027283B">
        <w:t xml:space="preserve"> </w:t>
      </w:r>
    </w:p>
    <w:p w14:paraId="291FC4CC" w14:textId="77777777" w:rsidR="009965E7" w:rsidRDefault="009965E7" w:rsidP="009965E7">
      <w:pPr>
        <w:jc w:val="center"/>
      </w:pPr>
      <w:r>
        <w:rPr>
          <w:noProof/>
        </w:rPr>
        <w:drawing>
          <wp:inline distT="0" distB="0" distL="0" distR="0" wp14:anchorId="5EF39DCD" wp14:editId="42F99F35">
            <wp:extent cx="6019800" cy="1914525"/>
            <wp:effectExtent l="0" t="0" r="0" b="0"/>
            <wp:docPr id="4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42CD97B5" w14:textId="77777777" w:rsidR="009965E7" w:rsidRDefault="009965E7" w:rsidP="009965E7">
      <w:r>
        <w:t>The following chart shows the recent history of changes in the VACANCY.</w:t>
      </w:r>
    </w:p>
    <w:p w14:paraId="6441CD2C" w14:textId="77777777" w:rsidR="009965E7" w:rsidRDefault="009965E7" w:rsidP="009965E7">
      <w:pPr>
        <w:jc w:val="center"/>
      </w:pPr>
      <w:r>
        <w:rPr>
          <w:noProof/>
        </w:rPr>
        <w:drawing>
          <wp:inline distT="0" distB="0" distL="0" distR="0" wp14:anchorId="7D5D9702" wp14:editId="0A771101">
            <wp:extent cx="6724650" cy="3429000"/>
            <wp:effectExtent l="0" t="0" r="0" b="0"/>
            <wp:docPr id="2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B6909B2" w14:textId="77777777" w:rsidR="009965E7" w:rsidRDefault="009965E7" w:rsidP="009965E7">
      <w:r>
        <w:t>Note that gaps may appear in the history where data was unavailable for those months.</w:t>
      </w:r>
    </w:p>
    <w:p w14:paraId="17A5BD0B" w14:textId="77777777" w:rsidR="009965E7" w:rsidRDefault="009965E7" w:rsidP="009965E7">
      <w:pPr>
        <w:spacing w:before="57" w:after="113"/>
      </w:pPr>
      <w:r>
        <w:br w:type="page"/>
      </w:r>
    </w:p>
    <w:p w14:paraId="4C521E7F" w14:textId="77777777" w:rsidR="009965E7" w:rsidRDefault="009965E7" w:rsidP="009965E7">
      <w:pPr>
        <w:pStyle w:val="Heading2"/>
        <w:spacing w:before="0"/>
      </w:pPr>
      <w:bookmarkStart w:id="17" w:name="_Toc1637625179110"/>
      <w:r>
        <w:lastRenderedPageBreak/>
        <w:t>Gross rental yield</w:t>
      </w:r>
      <w:bookmarkEnd w:id="17"/>
      <w:r>
        <w:t xml:space="preserve"> (YIELD)</w:t>
      </w:r>
    </w:p>
    <w:p w14:paraId="0568BD44" w14:textId="77777777" w:rsidR="009965E7" w:rsidRDefault="009965E7" w:rsidP="009965E7">
      <w:r>
        <w:t xml:space="preserve">The typical rental incomes (annual gross) as a percentage of typical property values. </w:t>
      </w:r>
      <w:hyperlink r:id="rId62" w:tgtFrame="_blank" w:history="1">
        <w:r w:rsidR="00DA3B3A" w:rsidRPr="00052F25">
          <w:rPr>
            <w:rStyle w:val="Hyperlink"/>
          </w:rPr>
          <w:t>Read more about this metric</w:t>
        </w:r>
      </w:hyperlink>
      <w:r>
        <w:t>.</w:t>
      </w:r>
    </w:p>
    <w:p w14:paraId="1E3185FD"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YIELD for NORTH MELBOURNE Houses for the month ending 31 October 2021 was </w:t>
      </w:r>
      <w:r>
        <w:rPr>
          <w:b/>
          <w:bCs/>
        </w:rPr>
        <w:t>2.53%</w:t>
      </w:r>
      <w:r>
        <w:t>.</w:t>
      </w:r>
    </w:p>
    <w:p w14:paraId="6CEDFBCC" w14:textId="77777777" w:rsidR="009965E7" w:rsidRDefault="009965E7" w:rsidP="009965E7">
      <w:r>
        <w:t xml:space="preserve">The minimum YIELD for the country as at 31 October 2021 was 0.98% while the maximum was 9.98%. The median YIELD for the same period was 4.2% and the average was 4.37%. This can be visualised in the </w:t>
      </w:r>
      <w:hyperlink r:id="rId63">
        <w:r>
          <w:rPr>
            <w:rStyle w:val="Hyperlink"/>
          </w:rPr>
          <w:t>Context Ruler</w:t>
        </w:r>
      </w:hyperlink>
      <w:r>
        <w:t xml:space="preserve"> Infographic which follows.</w:t>
      </w:r>
      <w:r w:rsidRPr="0027283B">
        <w:t xml:space="preserve"> </w:t>
      </w:r>
    </w:p>
    <w:p w14:paraId="00E1A67E" w14:textId="77777777" w:rsidR="009965E7" w:rsidRDefault="009965E7" w:rsidP="009965E7">
      <w:pPr>
        <w:jc w:val="center"/>
      </w:pPr>
      <w:r>
        <w:rPr>
          <w:noProof/>
        </w:rPr>
        <w:drawing>
          <wp:inline distT="0" distB="0" distL="0" distR="0" wp14:anchorId="14D40EC9" wp14:editId="2647EA12">
            <wp:extent cx="6019800" cy="1914525"/>
            <wp:effectExtent l="0" t="0" r="0" b="0"/>
            <wp:docPr id="44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6BBCDA1B" w14:textId="77777777" w:rsidR="009965E7" w:rsidRDefault="009965E7" w:rsidP="009965E7">
      <w:r>
        <w:t>The following chart shows the recent history of changes in the YIELD.</w:t>
      </w:r>
    </w:p>
    <w:p w14:paraId="47082FB3" w14:textId="77777777" w:rsidR="009965E7" w:rsidRDefault="009965E7" w:rsidP="009965E7">
      <w:pPr>
        <w:jc w:val="center"/>
      </w:pPr>
      <w:r>
        <w:rPr>
          <w:noProof/>
        </w:rPr>
        <w:drawing>
          <wp:inline distT="0" distB="0" distL="0" distR="0" wp14:anchorId="2FEB7F18" wp14:editId="78778B4A">
            <wp:extent cx="6724650" cy="3429000"/>
            <wp:effectExtent l="0" t="0" r="0" b="0"/>
            <wp:docPr id="2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01ACF01" w14:textId="77777777" w:rsidR="009965E7" w:rsidRDefault="009965E7" w:rsidP="009965E7">
      <w:r>
        <w:t>Note that gaps may appear in the history where data was unavailable for those months.</w:t>
      </w:r>
    </w:p>
    <w:p w14:paraId="3F841F32" w14:textId="77777777" w:rsidR="009965E7" w:rsidRDefault="009965E7" w:rsidP="009965E7">
      <w:pPr>
        <w:spacing w:before="57" w:after="113"/>
      </w:pPr>
      <w:r>
        <w:br w:type="page"/>
      </w:r>
    </w:p>
    <w:p w14:paraId="4AADA618" w14:textId="77777777" w:rsidR="009965E7" w:rsidRDefault="009965E7" w:rsidP="009965E7">
      <w:pPr>
        <w:pStyle w:val="Heading2"/>
        <w:spacing w:before="0"/>
      </w:pPr>
      <w:bookmarkStart w:id="18" w:name="_Toc1637625179111"/>
      <w:r>
        <w:lastRenderedPageBreak/>
        <w:t>Percent stock on market</w:t>
      </w:r>
      <w:bookmarkEnd w:id="18"/>
      <w:r>
        <w:t xml:space="preserve"> (SOM%)</w:t>
      </w:r>
    </w:p>
    <w:p w14:paraId="02C9B3E6" w14:textId="77777777" w:rsidR="009965E7" w:rsidRDefault="009965E7" w:rsidP="009965E7">
      <w:r>
        <w:t xml:space="preserve">The % of stock in a property market that is currently listed for sale. </w:t>
      </w:r>
      <w:hyperlink r:id="rId66" w:tgtFrame="_blank" w:history="1">
        <w:r w:rsidR="00DA3B3A" w:rsidRPr="00052F25">
          <w:rPr>
            <w:rStyle w:val="Hyperlink"/>
          </w:rPr>
          <w:t>Read more about this metric</w:t>
        </w:r>
      </w:hyperlink>
      <w:r>
        <w:t>.</w:t>
      </w:r>
    </w:p>
    <w:p w14:paraId="0F07357B"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SOM% for NORTH MELBOURNE Houses for the month ending 31 October 2021 was </w:t>
      </w:r>
      <w:r>
        <w:rPr>
          <w:b/>
          <w:bCs/>
        </w:rPr>
        <w:t>1.5%</w:t>
      </w:r>
      <w:r>
        <w:t>.</w:t>
      </w:r>
    </w:p>
    <w:p w14:paraId="229B68A2" w14:textId="77777777" w:rsidR="009965E7" w:rsidRDefault="009965E7" w:rsidP="009965E7">
      <w:r>
        <w:t xml:space="preserve">The minimum SOM% for the country as at 31 October 2021 was 0% while the maximum was 490%. The median SOM% for the same period was 0.92% and the average was 1.46%. This can be visualised in the </w:t>
      </w:r>
      <w:hyperlink r:id="rId67">
        <w:r>
          <w:rPr>
            <w:rStyle w:val="Hyperlink"/>
          </w:rPr>
          <w:t>Context Ruler</w:t>
        </w:r>
      </w:hyperlink>
      <w:r>
        <w:t xml:space="preserve"> Infographic which follows.</w:t>
      </w:r>
      <w:r w:rsidRPr="0027283B">
        <w:t xml:space="preserve"> </w:t>
      </w:r>
    </w:p>
    <w:p w14:paraId="3F09DB21" w14:textId="77777777" w:rsidR="009965E7" w:rsidRDefault="009965E7" w:rsidP="009965E7">
      <w:pPr>
        <w:jc w:val="center"/>
      </w:pPr>
      <w:r>
        <w:rPr>
          <w:noProof/>
        </w:rPr>
        <w:drawing>
          <wp:inline distT="0" distB="0" distL="0" distR="0" wp14:anchorId="1D279257" wp14:editId="1225E235">
            <wp:extent cx="6019800" cy="1914525"/>
            <wp:effectExtent l="0" t="0" r="0" b="0"/>
            <wp:docPr id="4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78285761" w14:textId="77777777" w:rsidR="009965E7" w:rsidRDefault="009965E7" w:rsidP="009965E7">
      <w:r>
        <w:t>The following chart shows the recent history of changes in the SOM%.</w:t>
      </w:r>
    </w:p>
    <w:p w14:paraId="3EAD0EA3" w14:textId="77777777" w:rsidR="009965E7" w:rsidRDefault="009965E7" w:rsidP="009965E7">
      <w:pPr>
        <w:jc w:val="center"/>
      </w:pPr>
      <w:r>
        <w:rPr>
          <w:noProof/>
        </w:rPr>
        <w:drawing>
          <wp:inline distT="0" distB="0" distL="0" distR="0" wp14:anchorId="5263D37C" wp14:editId="5AB519C8">
            <wp:extent cx="6724650" cy="3429000"/>
            <wp:effectExtent l="0" t="0" r="0" b="0"/>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0175A5C" w14:textId="77777777" w:rsidR="009965E7" w:rsidRDefault="009965E7" w:rsidP="009965E7">
      <w:r>
        <w:t>Note that gaps may appear in the history where data was unavailable for those months.</w:t>
      </w:r>
    </w:p>
    <w:p w14:paraId="6AF23869" w14:textId="77777777" w:rsidR="009965E7" w:rsidRDefault="009965E7" w:rsidP="009965E7">
      <w:pPr>
        <w:spacing w:before="57" w:after="113"/>
      </w:pPr>
      <w:r>
        <w:br w:type="page"/>
      </w:r>
    </w:p>
    <w:p w14:paraId="696B0ECD" w14:textId="77777777" w:rsidR="009965E7" w:rsidRDefault="009965E7" w:rsidP="009965E7">
      <w:pPr>
        <w:pStyle w:val="Heading2"/>
        <w:spacing w:before="0"/>
      </w:pPr>
      <w:bookmarkStart w:id="19" w:name="_Toc1637625179112"/>
      <w:r>
        <w:lastRenderedPageBreak/>
        <w:t>Online search interest</w:t>
      </w:r>
      <w:bookmarkEnd w:id="19"/>
      <w:r>
        <w:t xml:space="preserve"> (OSI)</w:t>
      </w:r>
    </w:p>
    <w:p w14:paraId="4B23B5A6" w14:textId="77777777" w:rsidR="009965E7" w:rsidRDefault="009965E7" w:rsidP="009965E7">
      <w:r>
        <w:t xml:space="preserve">The ratio of people searching online for properties versus the number of properties available online. </w:t>
      </w:r>
      <w:hyperlink r:id="rId70" w:tgtFrame="_blank" w:history="1">
        <w:r w:rsidR="00DA3B3A" w:rsidRPr="00052F25">
          <w:rPr>
            <w:rStyle w:val="Hyperlink"/>
          </w:rPr>
          <w:t>Read more about this metric</w:t>
        </w:r>
      </w:hyperlink>
      <w:r>
        <w:t>.</w:t>
      </w:r>
    </w:p>
    <w:p w14:paraId="33FC7FB7"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OSI for NORTH MELBOURNE Houses for the month ending 31 October 2021 was </w:t>
      </w:r>
      <w:r>
        <w:rPr>
          <w:b/>
          <w:bCs/>
        </w:rPr>
        <w:t>461</w:t>
      </w:r>
      <w:r>
        <w:t>.</w:t>
      </w:r>
    </w:p>
    <w:p w14:paraId="78BC6439" w14:textId="77777777" w:rsidR="009965E7" w:rsidRDefault="009965E7" w:rsidP="009965E7">
      <w:r>
        <w:t xml:space="preserve">The minimum OSI for the country as at 31 October 2021 was 0 while the maximum was 9,122. The median OSI for the same period was 886 and the average was 1,160. This can be visualised in the </w:t>
      </w:r>
      <w:hyperlink r:id="rId71">
        <w:r>
          <w:rPr>
            <w:rStyle w:val="Hyperlink"/>
          </w:rPr>
          <w:t>Context Ruler</w:t>
        </w:r>
      </w:hyperlink>
      <w:r>
        <w:t xml:space="preserve"> Infographic which follows.</w:t>
      </w:r>
      <w:r w:rsidRPr="0027283B">
        <w:t xml:space="preserve"> </w:t>
      </w:r>
    </w:p>
    <w:p w14:paraId="6E5DC941" w14:textId="77777777" w:rsidR="009965E7" w:rsidRDefault="009965E7" w:rsidP="009965E7">
      <w:pPr>
        <w:jc w:val="center"/>
      </w:pPr>
      <w:r>
        <w:rPr>
          <w:noProof/>
        </w:rPr>
        <w:drawing>
          <wp:inline distT="0" distB="0" distL="0" distR="0" wp14:anchorId="70AAF069" wp14:editId="68D5D56B">
            <wp:extent cx="6019800" cy="1914525"/>
            <wp:effectExtent l="0" t="0" r="0" b="0"/>
            <wp:docPr id="5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1EFEA7D8" w14:textId="77777777" w:rsidR="009965E7" w:rsidRDefault="009965E7" w:rsidP="009965E7">
      <w:r>
        <w:t>The following chart shows the recent history of changes in the OSI.</w:t>
      </w:r>
    </w:p>
    <w:p w14:paraId="2A79CC3B" w14:textId="77777777" w:rsidR="009965E7" w:rsidRDefault="009965E7" w:rsidP="009965E7">
      <w:pPr>
        <w:jc w:val="center"/>
      </w:pPr>
      <w:r>
        <w:rPr>
          <w:noProof/>
        </w:rPr>
        <w:drawing>
          <wp:inline distT="0" distB="0" distL="0" distR="0" wp14:anchorId="6E694BA6" wp14:editId="58882114">
            <wp:extent cx="6724650" cy="3429000"/>
            <wp:effectExtent l="0" t="0" r="0" b="0"/>
            <wp:docPr id="2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9CC735" w14:textId="77777777" w:rsidR="009965E7" w:rsidRDefault="009965E7" w:rsidP="009965E7">
      <w:r>
        <w:t xml:space="preserve">Note that gaps may appear in the history where data was unavailable for those months. </w:t>
      </w:r>
      <w:r>
        <w:rPr>
          <w:b/>
          <w:bCs/>
        </w:rPr>
        <w:t>Note that in late 2019 there was a change to the method used to calculate the OSI.</w:t>
      </w:r>
    </w:p>
    <w:p w14:paraId="2292F294" w14:textId="77777777" w:rsidR="009965E7" w:rsidRDefault="009965E7" w:rsidP="009965E7">
      <w:pPr>
        <w:spacing w:before="57" w:after="113"/>
      </w:pPr>
      <w:r>
        <w:br w:type="page"/>
      </w:r>
    </w:p>
    <w:p w14:paraId="7A70E5B0" w14:textId="77777777" w:rsidR="009965E7" w:rsidRDefault="009965E7" w:rsidP="009965E7">
      <w:pPr>
        <w:pStyle w:val="Heading2"/>
        <w:spacing w:before="0"/>
      </w:pPr>
      <w:bookmarkStart w:id="20" w:name="_Toc1637625179113"/>
      <w:r>
        <w:lastRenderedPageBreak/>
        <w:t>Market cycle timing</w:t>
      </w:r>
      <w:bookmarkEnd w:id="20"/>
      <w:r>
        <w:t xml:space="preserve"> (MCT)</w:t>
      </w:r>
    </w:p>
    <w:p w14:paraId="58288D8B" w14:textId="77777777" w:rsidR="009965E7" w:rsidRDefault="009965E7" w:rsidP="009965E7">
      <w:r>
        <w:t xml:space="preserve">A score out of 100 for the likelihood of a property market being at the start of its next surge in price growth. </w:t>
      </w:r>
      <w:hyperlink r:id="rId74" w:tgtFrame="_blank" w:history="1">
        <w:r w:rsidR="00DA3B3A" w:rsidRPr="00052F25">
          <w:rPr>
            <w:rStyle w:val="Hyperlink"/>
          </w:rPr>
          <w:t>Read more about this metric</w:t>
        </w:r>
      </w:hyperlink>
      <w:r>
        <w:t>.</w:t>
      </w:r>
    </w:p>
    <w:p w14:paraId="26CAEA09"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MCT for NORTH MELBOURNE Houses for the month ending 31 October 2021 was </w:t>
      </w:r>
      <w:r>
        <w:rPr>
          <w:b/>
          <w:bCs/>
        </w:rPr>
        <w:t>76</w:t>
      </w:r>
      <w:r>
        <w:t>.</w:t>
      </w:r>
    </w:p>
    <w:p w14:paraId="51811B42" w14:textId="77777777" w:rsidR="009965E7" w:rsidRDefault="009965E7" w:rsidP="009965E7">
      <w:r>
        <w:t xml:space="preserve">The minimum MCT for the country as at 31 October 2021 was 0 while the maximum was 94. The median MCT for the same period was 41 and the average was 42. This can be visualised in the </w:t>
      </w:r>
      <w:hyperlink r:id="rId75">
        <w:r>
          <w:rPr>
            <w:rStyle w:val="Hyperlink"/>
          </w:rPr>
          <w:t>Context Ruler</w:t>
        </w:r>
      </w:hyperlink>
      <w:r>
        <w:t xml:space="preserve"> Infographic which follows.</w:t>
      </w:r>
      <w:r w:rsidRPr="0027283B">
        <w:t xml:space="preserve"> </w:t>
      </w:r>
    </w:p>
    <w:p w14:paraId="60FF9176" w14:textId="77777777" w:rsidR="009965E7" w:rsidRDefault="009965E7" w:rsidP="009965E7">
      <w:pPr>
        <w:jc w:val="center"/>
      </w:pPr>
      <w:r>
        <w:rPr>
          <w:noProof/>
        </w:rPr>
        <w:drawing>
          <wp:inline distT="0" distB="0" distL="0" distR="0" wp14:anchorId="7969ED2E" wp14:editId="6FBCF3A5">
            <wp:extent cx="6019800" cy="1914525"/>
            <wp:effectExtent l="0" t="0" r="0" b="0"/>
            <wp:docPr id="54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477C3794" w14:textId="77777777" w:rsidR="009965E7" w:rsidRDefault="009965E7" w:rsidP="009965E7">
      <w:r>
        <w:t>The following chart shows the recent history of changes in the MCT.</w:t>
      </w:r>
    </w:p>
    <w:p w14:paraId="036D0F32" w14:textId="77777777" w:rsidR="009965E7" w:rsidRDefault="009965E7" w:rsidP="009965E7">
      <w:pPr>
        <w:jc w:val="center"/>
      </w:pPr>
      <w:r>
        <w:rPr>
          <w:noProof/>
        </w:rPr>
        <w:drawing>
          <wp:inline distT="0" distB="0" distL="0" distR="0" wp14:anchorId="3EDBFD8C" wp14:editId="189AC066">
            <wp:extent cx="6724650" cy="3429000"/>
            <wp:effectExtent l="0" t="0" r="0" b="0"/>
            <wp:docPr id="3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9ECB042" w14:textId="77777777" w:rsidR="009965E7" w:rsidRDefault="009965E7" w:rsidP="009965E7">
      <w:r>
        <w:t>Note that gaps may appear in the history where data was unavailable for those months.</w:t>
      </w:r>
    </w:p>
    <w:p w14:paraId="58328534" w14:textId="77777777" w:rsidR="009965E7" w:rsidRDefault="009965E7" w:rsidP="009965E7">
      <w:pPr>
        <w:spacing w:before="57" w:after="113"/>
      </w:pPr>
      <w:r>
        <w:br w:type="page"/>
      </w:r>
    </w:p>
    <w:p w14:paraId="252D02B2" w14:textId="77777777" w:rsidR="009965E7" w:rsidRDefault="009965E7" w:rsidP="009965E7">
      <w:pPr>
        <w:pStyle w:val="Heading2"/>
        <w:spacing w:before="0"/>
      </w:pPr>
      <w:bookmarkStart w:id="21" w:name="_Toc1637625179114"/>
      <w:r>
        <w:lastRenderedPageBreak/>
        <w:t>Neighbour price balancing</w:t>
      </w:r>
      <w:bookmarkEnd w:id="21"/>
      <w:r>
        <w:t xml:space="preserve"> (NPB)</w:t>
      </w:r>
    </w:p>
    <w:p w14:paraId="4ACD223B" w14:textId="77777777" w:rsidR="009965E7" w:rsidRDefault="009965E7" w:rsidP="009965E7">
      <w:r>
        <w:t xml:space="preserve">The difference in typical value per km between the property market and its closest neighbours as a weighted average of distance. </w:t>
      </w:r>
      <w:hyperlink r:id="rId78" w:tgtFrame="_blank" w:history="1">
        <w:r w:rsidR="00DA3B3A" w:rsidRPr="00052F25">
          <w:rPr>
            <w:rStyle w:val="Hyperlink"/>
          </w:rPr>
          <w:t>Read more about this metric</w:t>
        </w:r>
      </w:hyperlink>
      <w:r>
        <w:t>.</w:t>
      </w:r>
    </w:p>
    <w:p w14:paraId="3AA71AC9"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NPB for NORTH MELBOURNE Houses for the month ending 31 October 2021 was </w:t>
      </w:r>
      <w:r>
        <w:rPr>
          <w:b/>
          <w:bCs/>
        </w:rPr>
        <w:t>74,496$/km</w:t>
      </w:r>
      <w:r>
        <w:t>.</w:t>
      </w:r>
    </w:p>
    <w:p w14:paraId="37BB5355" w14:textId="77777777" w:rsidR="009965E7" w:rsidRDefault="009965E7" w:rsidP="009965E7">
      <w:r>
        <w:t xml:space="preserve">The minimum NPB for the country as at 31 October 2021 was -250,000$/km while the maximum was 500,000$/km. The median NPB for the same period was 6,530$/km and the average was 4,186$/km. This can be visualised in the </w:t>
      </w:r>
      <w:hyperlink r:id="rId79">
        <w:r>
          <w:rPr>
            <w:rStyle w:val="Hyperlink"/>
          </w:rPr>
          <w:t>Context Ruler</w:t>
        </w:r>
      </w:hyperlink>
      <w:r>
        <w:t xml:space="preserve"> Infographic which follows.</w:t>
      </w:r>
      <w:r w:rsidRPr="0027283B">
        <w:t xml:space="preserve"> </w:t>
      </w:r>
    </w:p>
    <w:p w14:paraId="2878B434" w14:textId="77777777" w:rsidR="009965E7" w:rsidRDefault="009965E7" w:rsidP="009965E7">
      <w:pPr>
        <w:jc w:val="center"/>
      </w:pPr>
      <w:r>
        <w:rPr>
          <w:noProof/>
        </w:rPr>
        <w:drawing>
          <wp:inline distT="0" distB="0" distL="0" distR="0" wp14:anchorId="03D3C90C" wp14:editId="6ED4897A">
            <wp:extent cx="6019800" cy="1914525"/>
            <wp:effectExtent l="0" t="0" r="0" b="0"/>
            <wp:docPr id="5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39A5FDF1" w14:textId="77777777" w:rsidR="009965E7" w:rsidRDefault="009965E7" w:rsidP="009965E7">
      <w:r>
        <w:t>The following chart shows the recent history of changes in the NPB.</w:t>
      </w:r>
    </w:p>
    <w:p w14:paraId="300BD23B" w14:textId="77777777" w:rsidR="009965E7" w:rsidRDefault="009965E7" w:rsidP="009965E7">
      <w:pPr>
        <w:jc w:val="center"/>
      </w:pPr>
      <w:r>
        <w:rPr>
          <w:noProof/>
        </w:rPr>
        <w:drawing>
          <wp:inline distT="0" distB="0" distL="0" distR="0" wp14:anchorId="6AAB0F65" wp14:editId="3F7A7C1E">
            <wp:extent cx="6724650" cy="3429000"/>
            <wp:effectExtent l="0" t="0" r="0" b="0"/>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08CE671" w14:textId="77777777" w:rsidR="009965E7" w:rsidRDefault="009965E7" w:rsidP="009965E7">
      <w:r>
        <w:t>Note that gaps may appear in the history where data was unavailable for those months.</w:t>
      </w:r>
    </w:p>
    <w:p w14:paraId="4871620E" w14:textId="77777777" w:rsidR="009965E7" w:rsidRDefault="009965E7" w:rsidP="009965E7">
      <w:pPr>
        <w:spacing w:before="57" w:after="113"/>
      </w:pPr>
      <w:r>
        <w:br w:type="page"/>
      </w:r>
    </w:p>
    <w:p w14:paraId="40CB873B" w14:textId="77777777" w:rsidR="009965E7" w:rsidRDefault="009965E7" w:rsidP="009965E7">
      <w:pPr>
        <w:pStyle w:val="Heading2"/>
        <w:spacing w:before="0"/>
      </w:pPr>
      <w:bookmarkStart w:id="22" w:name="_Toc1637625179115"/>
      <w:r>
        <w:lastRenderedPageBreak/>
        <w:t>Ripple effect potential</w:t>
      </w:r>
      <w:bookmarkEnd w:id="22"/>
      <w:r>
        <w:t xml:space="preserve"> (REP)</w:t>
      </w:r>
    </w:p>
    <w:p w14:paraId="5B0FBB99" w14:textId="77777777" w:rsidR="009965E7" w:rsidRDefault="009965E7" w:rsidP="009965E7">
      <w:r>
        <w:t xml:space="preserve">The recent growth of neighbouring markets minus that of the target market indicating potential for growth to ripple.. </w:t>
      </w:r>
      <w:hyperlink r:id="rId82" w:tgtFrame="_blank" w:history="1">
        <w:r w:rsidR="00DA3B3A" w:rsidRPr="00052F25">
          <w:rPr>
            <w:rStyle w:val="Hyperlink"/>
          </w:rPr>
          <w:t>Read more about th</w:t>
        </w:r>
        <w:r w:rsidR="00DA3B3A" w:rsidRPr="00052F25">
          <w:rPr>
            <w:rStyle w:val="Hyperlink"/>
          </w:rPr>
          <w:t>is metric</w:t>
        </w:r>
      </w:hyperlink>
      <w:r>
        <w:t>.</w:t>
      </w:r>
    </w:p>
    <w:p w14:paraId="059CBC45"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REP for NORTH MELBOURNE Houses for the month ending 31 October 2021 was </w:t>
      </w:r>
      <w:r>
        <w:rPr>
          <w:b/>
          <w:bCs/>
        </w:rPr>
        <w:t>1.86%</w:t>
      </w:r>
      <w:r>
        <w:t>.</w:t>
      </w:r>
    </w:p>
    <w:p w14:paraId="68EF54D1" w14:textId="77777777" w:rsidR="009965E7" w:rsidRDefault="009965E7" w:rsidP="009965E7">
      <w:r>
        <w:t xml:space="preserve">The minimum REP for the country as at 31 October 2021 was -23.05% while the maximum was 21.27%. The median REP for the same period was 0.75% and the average was 0.33%. This can be visualised in the </w:t>
      </w:r>
      <w:hyperlink r:id="rId83">
        <w:r>
          <w:rPr>
            <w:rStyle w:val="Hyperlink"/>
          </w:rPr>
          <w:t>Context Ruler</w:t>
        </w:r>
      </w:hyperlink>
      <w:r>
        <w:t xml:space="preserve"> Infographic which follows.</w:t>
      </w:r>
      <w:r w:rsidRPr="0027283B">
        <w:t xml:space="preserve"> </w:t>
      </w:r>
    </w:p>
    <w:p w14:paraId="4095C725" w14:textId="77777777" w:rsidR="009965E7" w:rsidRDefault="009965E7" w:rsidP="009965E7">
      <w:pPr>
        <w:jc w:val="center"/>
      </w:pPr>
      <w:r>
        <w:rPr>
          <w:noProof/>
        </w:rPr>
        <w:drawing>
          <wp:inline distT="0" distB="0" distL="0" distR="0" wp14:anchorId="58F8705A" wp14:editId="4DFB0449">
            <wp:extent cx="6019800" cy="1914525"/>
            <wp:effectExtent l="0" t="0" r="0" b="0"/>
            <wp:docPr id="60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4D059B86" w14:textId="77777777" w:rsidR="009965E7" w:rsidRDefault="009965E7" w:rsidP="009965E7">
      <w:r>
        <w:t>The following chart shows the recent history of changes in the REP.</w:t>
      </w:r>
    </w:p>
    <w:p w14:paraId="6B2C4FA6" w14:textId="77777777" w:rsidR="009965E7" w:rsidRDefault="009965E7" w:rsidP="009965E7">
      <w:pPr>
        <w:jc w:val="center"/>
      </w:pPr>
      <w:r>
        <w:rPr>
          <w:noProof/>
        </w:rPr>
        <w:drawing>
          <wp:inline distT="0" distB="0" distL="0" distR="0" wp14:anchorId="31E04B53" wp14:editId="04B66AB9">
            <wp:extent cx="6724650" cy="3429000"/>
            <wp:effectExtent l="0" t="0" r="0" b="0"/>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DF889B2" w14:textId="77777777" w:rsidR="009965E7" w:rsidRDefault="009965E7" w:rsidP="009965E7">
      <w:r>
        <w:t>Note that gaps may appear in the history where data was unavailable for those months.</w:t>
      </w:r>
    </w:p>
    <w:p w14:paraId="62C724D7" w14:textId="77777777" w:rsidR="009965E7" w:rsidRDefault="009965E7" w:rsidP="009965E7">
      <w:pPr>
        <w:spacing w:before="57" w:after="113"/>
      </w:pPr>
      <w:r>
        <w:br w:type="page"/>
      </w:r>
    </w:p>
    <w:p w14:paraId="0CDD2845" w14:textId="77777777" w:rsidR="009965E7" w:rsidRDefault="009965E7" w:rsidP="009965E7">
      <w:pPr>
        <w:pStyle w:val="Heading2"/>
        <w:spacing w:before="0"/>
      </w:pPr>
      <w:bookmarkStart w:id="23" w:name="_Toc1637625179116"/>
      <w:r>
        <w:lastRenderedPageBreak/>
        <w:t>Unit to house value</w:t>
      </w:r>
      <w:bookmarkEnd w:id="23"/>
      <w:r>
        <w:t xml:space="preserve"> (U2H)</w:t>
      </w:r>
    </w:p>
    <w:p w14:paraId="1B5EA294" w14:textId="77777777" w:rsidR="009965E7" w:rsidRDefault="009965E7" w:rsidP="009965E7">
      <w:r>
        <w:t xml:space="preserve">A score out of 100 for the value of units compared to houses for a unit market or vice-versa for a housing market. </w:t>
      </w:r>
      <w:hyperlink r:id="rId86" w:tgtFrame="_blank" w:history="1">
        <w:r w:rsidR="00DA3B3A" w:rsidRPr="00052F25">
          <w:rPr>
            <w:rStyle w:val="Hyperlink"/>
          </w:rPr>
          <w:t>Read more about this metric</w:t>
        </w:r>
      </w:hyperlink>
      <w:r>
        <w:t>.</w:t>
      </w:r>
    </w:p>
    <w:p w14:paraId="188FD47F"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U2H for NORTH MELBOURNE Houses for the month ending 31 October 2021 was </w:t>
      </w:r>
      <w:r>
        <w:rPr>
          <w:b/>
          <w:bCs/>
        </w:rPr>
        <w:t>15</w:t>
      </w:r>
      <w:r>
        <w:t>.</w:t>
      </w:r>
    </w:p>
    <w:p w14:paraId="60D7BF9C" w14:textId="77777777" w:rsidR="009965E7" w:rsidRDefault="009965E7" w:rsidP="009965E7">
      <w:r>
        <w:t xml:space="preserve">The minimum U2H for the country as at 31 October 2021 was 0 while the maximum was 100. The median U2H for the same period was 39 and the average was 46. This can be visualised in the </w:t>
      </w:r>
      <w:hyperlink r:id="rId87">
        <w:r>
          <w:rPr>
            <w:rStyle w:val="Hyperlink"/>
          </w:rPr>
          <w:t>Context Ruler</w:t>
        </w:r>
      </w:hyperlink>
      <w:r>
        <w:t xml:space="preserve"> Infographic which follows.</w:t>
      </w:r>
      <w:r w:rsidRPr="0027283B">
        <w:t xml:space="preserve"> </w:t>
      </w:r>
    </w:p>
    <w:p w14:paraId="4FDEBBB5" w14:textId="77777777" w:rsidR="009965E7" w:rsidRDefault="009965E7" w:rsidP="009965E7">
      <w:pPr>
        <w:jc w:val="center"/>
      </w:pPr>
      <w:r>
        <w:rPr>
          <w:noProof/>
        </w:rPr>
        <w:drawing>
          <wp:inline distT="0" distB="0" distL="0" distR="0" wp14:anchorId="6528FE31" wp14:editId="70AC8679">
            <wp:extent cx="6019800" cy="1914525"/>
            <wp:effectExtent l="0" t="0" r="0" b="0"/>
            <wp:docPr id="6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2ED3E825" w14:textId="77777777" w:rsidR="009965E7" w:rsidRDefault="009965E7" w:rsidP="009965E7">
      <w:r>
        <w:t>The following chart shows the recent history of changes in the U2H.</w:t>
      </w:r>
    </w:p>
    <w:p w14:paraId="127DA1AB" w14:textId="77777777" w:rsidR="009965E7" w:rsidRDefault="009965E7" w:rsidP="009965E7">
      <w:pPr>
        <w:jc w:val="center"/>
      </w:pPr>
      <w:r>
        <w:rPr>
          <w:noProof/>
        </w:rPr>
        <w:drawing>
          <wp:inline distT="0" distB="0" distL="0" distR="0" wp14:anchorId="25AFC6A5" wp14:editId="636476FD">
            <wp:extent cx="6724650" cy="3429000"/>
            <wp:effectExtent l="0" t="0" r="0"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8AFE8DF" w14:textId="77777777" w:rsidR="009965E7" w:rsidRDefault="009965E7" w:rsidP="009965E7">
      <w:r>
        <w:t>Note that gaps may appear in the history where data was unavailable for those months.</w:t>
      </w:r>
    </w:p>
    <w:p w14:paraId="0F85A55B" w14:textId="77777777" w:rsidR="009965E7" w:rsidRDefault="009965E7" w:rsidP="009965E7">
      <w:pPr>
        <w:spacing w:before="57" w:after="113"/>
      </w:pPr>
      <w:r>
        <w:br w:type="page"/>
      </w:r>
    </w:p>
    <w:p w14:paraId="15254EBB" w14:textId="77777777" w:rsidR="009965E7" w:rsidRDefault="009965E7" w:rsidP="009965E7">
      <w:pPr>
        <w:pStyle w:val="Heading2"/>
        <w:spacing w:before="0"/>
      </w:pPr>
      <w:bookmarkStart w:id="24" w:name="_Toc1637625179117"/>
      <w:r>
        <w:lastRenderedPageBreak/>
        <w:t>Long term growth</w:t>
      </w:r>
      <w:bookmarkEnd w:id="24"/>
      <w:r>
        <w:t xml:space="preserve"> (LTG)</w:t>
      </w:r>
    </w:p>
    <w:p w14:paraId="534A1806" w14:textId="77777777" w:rsidR="009965E7" w:rsidRDefault="009965E7" w:rsidP="009965E7">
      <w:r>
        <w:t xml:space="preserve">The % growth per annum for the last 10 years. </w:t>
      </w:r>
      <w:hyperlink r:id="rId90" w:tgtFrame="_blank" w:history="1">
        <w:r w:rsidR="00DA3B3A" w:rsidRPr="00052F25">
          <w:rPr>
            <w:rStyle w:val="Hyperlink"/>
          </w:rPr>
          <w:t>Read more about this metric</w:t>
        </w:r>
      </w:hyperlink>
      <w:r>
        <w:t>.</w:t>
      </w:r>
    </w:p>
    <w:p w14:paraId="5C8891F1"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LTG for NORTH MELBOURNE Houses for the month ending 31 October 2021 was </w:t>
      </w:r>
      <w:r>
        <w:rPr>
          <w:b/>
          <w:bCs/>
        </w:rPr>
        <w:t>4.65%</w:t>
      </w:r>
      <w:r>
        <w:t>.</w:t>
      </w:r>
    </w:p>
    <w:p w14:paraId="7E53BCBD" w14:textId="77777777" w:rsidR="009965E7" w:rsidRDefault="009965E7" w:rsidP="009965E7">
      <w:r>
        <w:t xml:space="preserve">The minimum LTG for the country as at 31 October 2021 was -10.84% while the maximum was 16.16%. The median LTG for the same period was 4.33% and the average was 4.01%. This can be visualised in the </w:t>
      </w:r>
      <w:hyperlink r:id="rId91">
        <w:r>
          <w:rPr>
            <w:rStyle w:val="Hyperlink"/>
          </w:rPr>
          <w:t>Context Ruler</w:t>
        </w:r>
      </w:hyperlink>
      <w:r>
        <w:t xml:space="preserve"> Infographic which follows.</w:t>
      </w:r>
      <w:r w:rsidRPr="0027283B">
        <w:t xml:space="preserve"> </w:t>
      </w:r>
    </w:p>
    <w:p w14:paraId="6D7C97F7" w14:textId="77777777" w:rsidR="009965E7" w:rsidRDefault="009965E7" w:rsidP="009965E7">
      <w:pPr>
        <w:jc w:val="center"/>
      </w:pPr>
      <w:r>
        <w:rPr>
          <w:noProof/>
        </w:rPr>
        <w:drawing>
          <wp:inline distT="0" distB="0" distL="0" distR="0" wp14:anchorId="2035B9F4" wp14:editId="482B8AA6">
            <wp:extent cx="6019800" cy="1914525"/>
            <wp:effectExtent l="0" t="0" r="0" b="0"/>
            <wp:docPr id="6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5FDEE1EE" w14:textId="77777777" w:rsidR="009965E7" w:rsidRDefault="009965E7" w:rsidP="009965E7">
      <w:r>
        <w:t>The following chart shows the recent history of changes in the LTG.</w:t>
      </w:r>
    </w:p>
    <w:p w14:paraId="048E4367" w14:textId="77777777" w:rsidR="009965E7" w:rsidRDefault="009965E7" w:rsidP="009965E7">
      <w:pPr>
        <w:jc w:val="center"/>
      </w:pPr>
      <w:r>
        <w:rPr>
          <w:noProof/>
        </w:rPr>
        <w:drawing>
          <wp:inline distT="0" distB="0" distL="0" distR="0" wp14:anchorId="4972E74F" wp14:editId="582095D8">
            <wp:extent cx="6724650" cy="3429000"/>
            <wp:effectExtent l="0" t="0" r="0" b="0"/>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0BC7506" w14:textId="77777777" w:rsidR="009965E7" w:rsidRDefault="009965E7" w:rsidP="009965E7">
      <w:r>
        <w:t>Note that gaps may appear in the history where data was unavailable for those months.</w:t>
      </w:r>
    </w:p>
    <w:p w14:paraId="38E24045" w14:textId="77777777" w:rsidR="009965E7" w:rsidRDefault="009965E7" w:rsidP="009965E7">
      <w:pPr>
        <w:spacing w:before="57" w:after="113"/>
      </w:pPr>
      <w:r>
        <w:br w:type="page"/>
      </w:r>
    </w:p>
    <w:p w14:paraId="5AC86FC8" w14:textId="77777777" w:rsidR="009965E7" w:rsidRDefault="009965E7" w:rsidP="009965E7">
      <w:pPr>
        <w:pStyle w:val="Heading2"/>
        <w:spacing w:before="0"/>
      </w:pPr>
      <w:bookmarkStart w:id="25" w:name="_Toc1637625179118"/>
      <w:r>
        <w:lastRenderedPageBreak/>
        <w:t>Percentage rent growth</w:t>
      </w:r>
      <w:bookmarkEnd w:id="25"/>
      <w:r>
        <w:t xml:space="preserve"> (PRG)</w:t>
      </w:r>
    </w:p>
    <w:p w14:paraId="567527E4" w14:textId="77777777" w:rsidR="009965E7" w:rsidRDefault="009965E7" w:rsidP="009965E7">
      <w:r>
        <w:t xml:space="preserve">The % of growth in typical rents over the last 12 months. </w:t>
      </w:r>
      <w:hyperlink r:id="rId94" w:tgtFrame="_blank" w:history="1">
        <w:r w:rsidR="00DA3B3A" w:rsidRPr="00052F25">
          <w:rPr>
            <w:rStyle w:val="Hyperlink"/>
          </w:rPr>
          <w:t>Read more about this metric</w:t>
        </w:r>
      </w:hyperlink>
      <w:r>
        <w:t>.</w:t>
      </w:r>
    </w:p>
    <w:p w14:paraId="678846AB"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PRG for NORTH MELBOURNE Houses for the month ending 31 October 2021 was </w:t>
      </w:r>
      <w:r>
        <w:rPr>
          <w:b/>
          <w:bCs/>
        </w:rPr>
        <w:t>7.35%</w:t>
      </w:r>
      <w:r>
        <w:t>.</w:t>
      </w:r>
    </w:p>
    <w:p w14:paraId="720BFD16" w14:textId="77777777" w:rsidR="009965E7" w:rsidRDefault="009965E7" w:rsidP="009965E7">
      <w:r>
        <w:t xml:space="preserve">The minimum PRG for the country as at 31 October 2021 was -52.67% while the maximum was 48.75%. The median PRG for the same period was 8.43% and the average was 9.39%. This can be visualised in the </w:t>
      </w:r>
      <w:hyperlink r:id="rId95">
        <w:r>
          <w:rPr>
            <w:rStyle w:val="Hyperlink"/>
          </w:rPr>
          <w:t>Context Ruler</w:t>
        </w:r>
      </w:hyperlink>
      <w:r>
        <w:t xml:space="preserve"> Infographic which follows.</w:t>
      </w:r>
      <w:r w:rsidRPr="0027283B">
        <w:t xml:space="preserve"> </w:t>
      </w:r>
    </w:p>
    <w:p w14:paraId="50F93592" w14:textId="77777777" w:rsidR="009965E7" w:rsidRDefault="009965E7" w:rsidP="009965E7">
      <w:pPr>
        <w:jc w:val="center"/>
      </w:pPr>
      <w:r>
        <w:rPr>
          <w:noProof/>
        </w:rPr>
        <w:drawing>
          <wp:inline distT="0" distB="0" distL="0" distR="0" wp14:anchorId="752158A1" wp14:editId="1B521E8A">
            <wp:extent cx="6019800" cy="1914525"/>
            <wp:effectExtent l="0" t="0" r="0" b="0"/>
            <wp:docPr id="70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0388F031" w14:textId="77777777" w:rsidR="009965E7" w:rsidRDefault="009965E7" w:rsidP="009965E7">
      <w:r>
        <w:t>The following chart shows the recent history of changes in the PRG.</w:t>
      </w:r>
    </w:p>
    <w:p w14:paraId="37734C96" w14:textId="77777777" w:rsidR="009965E7" w:rsidRDefault="009965E7" w:rsidP="009965E7">
      <w:pPr>
        <w:jc w:val="center"/>
      </w:pPr>
      <w:r>
        <w:rPr>
          <w:noProof/>
        </w:rPr>
        <w:drawing>
          <wp:inline distT="0" distB="0" distL="0" distR="0" wp14:anchorId="386A45F6" wp14:editId="600AC030">
            <wp:extent cx="6724650" cy="3429000"/>
            <wp:effectExtent l="0" t="0" r="0" b="0"/>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D4DE697" w14:textId="77777777" w:rsidR="009965E7" w:rsidRDefault="009965E7" w:rsidP="009965E7">
      <w:r>
        <w:t>Note that gaps may appear in the history where data was unavailable for those months.</w:t>
      </w:r>
    </w:p>
    <w:p w14:paraId="10940F5E" w14:textId="77777777" w:rsidR="009965E7" w:rsidRDefault="009965E7" w:rsidP="009965E7">
      <w:pPr>
        <w:spacing w:before="57" w:after="113"/>
      </w:pPr>
      <w:r>
        <w:br w:type="page"/>
      </w:r>
    </w:p>
    <w:p w14:paraId="1B1E3AD4" w14:textId="77777777" w:rsidR="009965E7" w:rsidRDefault="009965E7" w:rsidP="009965E7">
      <w:pPr>
        <w:pStyle w:val="Heading2"/>
        <w:spacing w:before="0"/>
      </w:pPr>
      <w:bookmarkStart w:id="26" w:name="_Toc1637625179119"/>
      <w:r>
        <w:lastRenderedPageBreak/>
        <w:t>Percentage sales growth</w:t>
      </w:r>
      <w:bookmarkEnd w:id="26"/>
      <w:r>
        <w:t xml:space="preserve"> (PSG)</w:t>
      </w:r>
    </w:p>
    <w:p w14:paraId="71C39AE6" w14:textId="77777777" w:rsidR="009965E7" w:rsidRDefault="009965E7" w:rsidP="009965E7">
      <w:r>
        <w:t xml:space="preserve">The % of growth in sales volume over the last 12 months. </w:t>
      </w:r>
      <w:hyperlink r:id="rId98" w:tgtFrame="_blank" w:history="1">
        <w:r w:rsidR="00DA3B3A" w:rsidRPr="00052F25">
          <w:rPr>
            <w:rStyle w:val="Hyperlink"/>
          </w:rPr>
          <w:t>Read more about this metric</w:t>
        </w:r>
      </w:hyperlink>
      <w:r>
        <w:t>.</w:t>
      </w:r>
    </w:p>
    <w:p w14:paraId="781A591F"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PSG for NORTH MELBOURNE Houses for the month ending 31 October 2021 was </w:t>
      </w:r>
      <w:r>
        <w:rPr>
          <w:b/>
          <w:bCs/>
        </w:rPr>
        <w:t>9%</w:t>
      </w:r>
      <w:r>
        <w:t>.</w:t>
      </w:r>
    </w:p>
    <w:p w14:paraId="25D9E5F0" w14:textId="77777777" w:rsidR="009965E7" w:rsidRDefault="009965E7" w:rsidP="009965E7">
      <w:r>
        <w:t xml:space="preserve">The minimum PSG for the country as at 31 October 2021 was -50% while the maximum was 100%. The median PSG for the same period was -13.7% and the average was -9.46%. This can be visualised in the </w:t>
      </w:r>
      <w:hyperlink r:id="rId99">
        <w:r>
          <w:rPr>
            <w:rStyle w:val="Hyperlink"/>
          </w:rPr>
          <w:t>Context Ruler</w:t>
        </w:r>
      </w:hyperlink>
      <w:r>
        <w:t xml:space="preserve"> Infographic which follows.</w:t>
      </w:r>
      <w:r w:rsidRPr="0027283B">
        <w:t xml:space="preserve"> </w:t>
      </w:r>
    </w:p>
    <w:p w14:paraId="3356DC6A" w14:textId="77777777" w:rsidR="009965E7" w:rsidRDefault="009965E7" w:rsidP="009965E7">
      <w:pPr>
        <w:jc w:val="center"/>
      </w:pPr>
      <w:r>
        <w:rPr>
          <w:noProof/>
        </w:rPr>
        <w:drawing>
          <wp:inline distT="0" distB="0" distL="0" distR="0" wp14:anchorId="177BD8C4" wp14:editId="05379D31">
            <wp:extent cx="6019800" cy="1914525"/>
            <wp:effectExtent l="0" t="0" r="0" b="0"/>
            <wp:docPr id="7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26529923" w14:textId="77777777" w:rsidR="009965E7" w:rsidRDefault="009965E7" w:rsidP="009965E7">
      <w:r>
        <w:t>The following chart shows the recent history of changes in the PSG.</w:t>
      </w:r>
    </w:p>
    <w:p w14:paraId="49C9AA42" w14:textId="77777777" w:rsidR="009965E7" w:rsidRDefault="009965E7" w:rsidP="009965E7">
      <w:pPr>
        <w:jc w:val="center"/>
      </w:pPr>
      <w:r>
        <w:rPr>
          <w:noProof/>
        </w:rPr>
        <w:drawing>
          <wp:inline distT="0" distB="0" distL="0" distR="0" wp14:anchorId="419606F1" wp14:editId="3395107C">
            <wp:extent cx="6724650" cy="3429000"/>
            <wp:effectExtent l="0" t="0" r="0" b="0"/>
            <wp:docPr id="3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89577F2" w14:textId="77777777" w:rsidR="009965E7" w:rsidRDefault="009965E7" w:rsidP="009965E7">
      <w:r>
        <w:t>Note that gaps may appear in the history where data was unavailable for those months.</w:t>
      </w:r>
    </w:p>
    <w:p w14:paraId="7927742C" w14:textId="77777777" w:rsidR="009965E7" w:rsidRDefault="009965E7" w:rsidP="009965E7">
      <w:pPr>
        <w:spacing w:before="57" w:after="113"/>
      </w:pPr>
      <w:r>
        <w:br w:type="page"/>
      </w:r>
    </w:p>
    <w:p w14:paraId="79A0C673" w14:textId="77777777" w:rsidR="009965E7" w:rsidRDefault="009965E7" w:rsidP="009965E7">
      <w:pPr>
        <w:pStyle w:val="Heading2"/>
        <w:spacing w:before="0"/>
      </w:pPr>
      <w:bookmarkStart w:id="27" w:name="_Toc1637625179120"/>
      <w:r>
        <w:lastRenderedPageBreak/>
        <w:t>Percent sales by auction</w:t>
      </w:r>
      <w:bookmarkEnd w:id="27"/>
      <w:r>
        <w:t xml:space="preserve"> (SBA%)</w:t>
      </w:r>
    </w:p>
    <w:p w14:paraId="27EA1D65" w14:textId="77777777" w:rsidR="009965E7" w:rsidRDefault="009965E7" w:rsidP="009965E7">
      <w:r>
        <w:t xml:space="preserve">The % of properties listed for sale by auction as opposed to those listed for sale by other means. </w:t>
      </w:r>
      <w:hyperlink r:id="rId102" w:tgtFrame="_blank" w:history="1">
        <w:r w:rsidR="00DA3B3A" w:rsidRPr="00052F25">
          <w:rPr>
            <w:rStyle w:val="Hyperlink"/>
          </w:rPr>
          <w:t>Read more about this metric</w:t>
        </w:r>
      </w:hyperlink>
      <w:r>
        <w:t>.</w:t>
      </w:r>
    </w:p>
    <w:p w14:paraId="5B7669A8"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SBA% for NORTH MELBOURNE Houses for the month ending 31 October 2021 was </w:t>
      </w:r>
      <w:r>
        <w:rPr>
          <w:b/>
          <w:bCs/>
        </w:rPr>
        <w:t>54.5%</w:t>
      </w:r>
      <w:r>
        <w:t>.</w:t>
      </w:r>
    </w:p>
    <w:p w14:paraId="68C0342F" w14:textId="77777777" w:rsidR="009965E7" w:rsidRDefault="009965E7" w:rsidP="009965E7">
      <w:r>
        <w:t xml:space="preserve">The minimum SBA% for the country as at 31 October 2021 was 0% while the maximum was 100%. The median SBA% for the same period was 5.6% and the average was 22.58%. This can be visualised in the </w:t>
      </w:r>
      <w:hyperlink r:id="rId103">
        <w:r>
          <w:rPr>
            <w:rStyle w:val="Hyperlink"/>
          </w:rPr>
          <w:t>Context Ruler</w:t>
        </w:r>
      </w:hyperlink>
      <w:r>
        <w:t xml:space="preserve"> Infographic which follows.</w:t>
      </w:r>
      <w:r w:rsidRPr="0027283B">
        <w:t xml:space="preserve"> </w:t>
      </w:r>
    </w:p>
    <w:p w14:paraId="309EED54" w14:textId="77777777" w:rsidR="009965E7" w:rsidRDefault="009965E7" w:rsidP="009965E7">
      <w:pPr>
        <w:jc w:val="center"/>
      </w:pPr>
      <w:r>
        <w:rPr>
          <w:noProof/>
        </w:rPr>
        <w:drawing>
          <wp:inline distT="0" distB="0" distL="0" distR="0" wp14:anchorId="78A64314" wp14:editId="1D6854E6">
            <wp:extent cx="6019800" cy="1914525"/>
            <wp:effectExtent l="0" t="0" r="0" b="0"/>
            <wp:docPr id="7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5C038BD3" w14:textId="77777777" w:rsidR="009965E7" w:rsidRDefault="009965E7" w:rsidP="009965E7">
      <w:r>
        <w:t>The following chart shows the recent history of changes in the SBA%.</w:t>
      </w:r>
    </w:p>
    <w:p w14:paraId="0F181577" w14:textId="77777777" w:rsidR="009965E7" w:rsidRDefault="009965E7" w:rsidP="009965E7">
      <w:pPr>
        <w:jc w:val="center"/>
      </w:pPr>
      <w:r>
        <w:rPr>
          <w:noProof/>
        </w:rPr>
        <w:drawing>
          <wp:inline distT="0" distB="0" distL="0" distR="0" wp14:anchorId="468DAE22" wp14:editId="445E1921">
            <wp:extent cx="6724650" cy="3429000"/>
            <wp:effectExtent l="0" t="0" r="0" b="0"/>
            <wp:docPr id="3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9FC3AB7" w14:textId="77777777" w:rsidR="009965E7" w:rsidRDefault="009965E7" w:rsidP="009965E7">
      <w:r>
        <w:t>Note that gaps may appear in the history where data was unavailable for those months.</w:t>
      </w:r>
    </w:p>
    <w:p w14:paraId="4C655911" w14:textId="77777777" w:rsidR="009965E7" w:rsidRDefault="009965E7" w:rsidP="009965E7">
      <w:pPr>
        <w:spacing w:before="57" w:after="113"/>
      </w:pPr>
      <w:r>
        <w:br w:type="page"/>
      </w:r>
    </w:p>
    <w:p w14:paraId="6716D22A" w14:textId="77777777" w:rsidR="009965E7" w:rsidRDefault="009965E7" w:rsidP="009965E7">
      <w:pPr>
        <w:pStyle w:val="Heading2"/>
        <w:spacing w:before="0"/>
      </w:pPr>
      <w:bookmarkStart w:id="28" w:name="_Toc1637625179121"/>
      <w:bookmarkStart w:id="29" w:name="_Toc336096211"/>
      <w:r>
        <w:lastRenderedPageBreak/>
        <w:t>Percent open for inspection</w:t>
      </w:r>
      <w:bookmarkEnd w:id="28"/>
      <w:bookmarkEnd w:id="29"/>
      <w:r>
        <w:t xml:space="preserve"> (OFI%)</w:t>
      </w:r>
    </w:p>
    <w:p w14:paraId="71899229" w14:textId="77777777" w:rsidR="009965E7" w:rsidRDefault="009965E7" w:rsidP="009965E7">
      <w:r>
        <w:t xml:space="preserve">The % of properties listed for sale with open inspection dates as opposed to those viewed by appointment only or other means. </w:t>
      </w:r>
      <w:hyperlink r:id="rId106" w:tgtFrame="_blank" w:history="1">
        <w:r w:rsidR="00DA3B3A" w:rsidRPr="00052F25">
          <w:rPr>
            <w:rStyle w:val="Hyperlink"/>
          </w:rPr>
          <w:t>Read more about this metric</w:t>
        </w:r>
      </w:hyperlink>
      <w:r>
        <w:t>.</w:t>
      </w:r>
    </w:p>
    <w:p w14:paraId="45B9273B" w14:textId="77777777" w:rsidR="009965E7" w:rsidRDefault="009965E7" w:rsidP="009965E7">
      <w:pPr>
        <w:pBdr>
          <w:top w:val="single" w:sz="4" w:space="15" w:color="000000"/>
          <w:left w:val="single" w:sz="4" w:space="15" w:color="000000"/>
          <w:bottom w:val="single" w:sz="4" w:space="15" w:color="000000"/>
          <w:right w:val="single" w:sz="4" w:space="15" w:color="000000"/>
        </w:pBdr>
        <w:shd w:val="clear" w:color="auto" w:fill="FCD9BC"/>
        <w:ind w:left="340" w:right="340"/>
      </w:pPr>
      <w:r>
        <w:t xml:space="preserve">The OFI% for NORTH MELBOURNE Houses for the month ending 31 October 2021 was </w:t>
      </w:r>
      <w:r>
        <w:rPr>
          <w:b/>
          <w:bCs/>
        </w:rPr>
        <w:t>20.6%</w:t>
      </w:r>
      <w:r>
        <w:t>.</w:t>
      </w:r>
    </w:p>
    <w:p w14:paraId="6B22D17B" w14:textId="77777777" w:rsidR="009965E7" w:rsidRDefault="009965E7" w:rsidP="009965E7">
      <w:r>
        <w:t xml:space="preserve">The minimum OFI% for the country as at 31 October 2021 was 0.5% while the maximum was 100%. The median OFI% for the same period was 33.3% and the average was 39.38%. This can be visualised in the </w:t>
      </w:r>
      <w:hyperlink r:id="rId107">
        <w:r>
          <w:rPr>
            <w:rStyle w:val="Hyperlink"/>
          </w:rPr>
          <w:t>Context Ruler</w:t>
        </w:r>
      </w:hyperlink>
      <w:r>
        <w:t xml:space="preserve"> Infographic which follows.</w:t>
      </w:r>
      <w:r w:rsidRPr="0027283B">
        <w:t xml:space="preserve"> </w:t>
      </w:r>
    </w:p>
    <w:p w14:paraId="31CB4DBA" w14:textId="77777777" w:rsidR="009965E7" w:rsidRDefault="009965E7" w:rsidP="009965E7">
      <w:pPr>
        <w:jc w:val="center"/>
      </w:pPr>
      <w:r>
        <w:rPr>
          <w:noProof/>
        </w:rPr>
        <w:drawing>
          <wp:inline distT="0" distB="0" distL="0" distR="0" wp14:anchorId="68F6EB77" wp14:editId="63B42452">
            <wp:extent cx="6019800" cy="1914525"/>
            <wp:effectExtent l="0" t="0" r="0" b="0"/>
            <wp:docPr id="79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19800" cy="1914525"/>
                    </a:xfrm>
                    <a:prstGeom prst="rect">
                      <a:avLst/>
                    </a:prstGeom>
                    <a:noFill/>
                    <a:ln>
                      <a:noFill/>
                    </a:ln>
                  </pic:spPr>
                </pic:pic>
              </a:graphicData>
            </a:graphic>
          </wp:inline>
        </w:drawing>
      </w:r>
    </w:p>
    <w:p w14:paraId="5F719DBA" w14:textId="77777777" w:rsidR="009965E7" w:rsidRDefault="009965E7" w:rsidP="009965E7">
      <w:r>
        <w:t>The following chart shows the recent history of changes in the OFI%.</w:t>
      </w:r>
    </w:p>
    <w:p w14:paraId="24BCDB83" w14:textId="77777777" w:rsidR="009965E7" w:rsidRDefault="009965E7" w:rsidP="009965E7">
      <w:pPr>
        <w:jc w:val="center"/>
      </w:pPr>
      <w:bookmarkStart w:id="30" w:name="_Hlk75654467"/>
      <w:bookmarkEnd w:id="30"/>
      <w:r>
        <w:rPr>
          <w:noProof/>
        </w:rPr>
        <w:drawing>
          <wp:inline distT="0" distB="0" distL="0" distR="0" wp14:anchorId="10E253CE" wp14:editId="55B5BC88">
            <wp:extent cx="6724650" cy="3429000"/>
            <wp:effectExtent l="0" t="0" r="0" b="0"/>
            <wp:docPr id="3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C3DFC7D" w14:textId="77777777" w:rsidR="009965E7" w:rsidRDefault="009965E7" w:rsidP="009965E7">
      <w:r>
        <w:t>Note that gaps may appear in the history where data was unavailable for those months.</w:t>
      </w:r>
      <w:r>
        <w:br w:type="page"/>
      </w:r>
    </w:p>
    <w:p w14:paraId="710C47AF" w14:textId="77777777" w:rsidR="009965E7" w:rsidRDefault="009965E7" w:rsidP="009965E7">
      <w:pPr>
        <w:pStyle w:val="Heading2"/>
      </w:pPr>
      <w:bookmarkStart w:id="31" w:name="_Toc1637625179122"/>
      <w:r>
        <w:lastRenderedPageBreak/>
        <w:t>Statistics Summary</w:t>
      </w:r>
      <w:bookmarkEnd w:id="31"/>
    </w:p>
    <w:p w14:paraId="7F270393" w14:textId="77777777" w:rsidR="009965E7" w:rsidRDefault="009965E7" w:rsidP="009965E7">
      <w:r>
        <w:t>The previously mentioned statistics are summarised in the following table:</w:t>
      </w:r>
    </w:p>
    <w:tbl>
      <w:tblPr>
        <w:tblStyle w:val="GridTable4-Accent5"/>
        <w:tblW w:w="9918" w:type="dxa"/>
        <w:tblLayout w:type="fixed"/>
        <w:tblLook w:val="04A0" w:firstRow="1" w:lastRow="0" w:firstColumn="1" w:lastColumn="0" w:noHBand="0" w:noVBand="1"/>
      </w:tblPr>
      <w:tblGrid>
        <w:gridCol w:w="4815"/>
        <w:gridCol w:w="5103"/>
      </w:tblGrid>
      <w:tr w:rsidR="009965E7" w14:paraId="4B351201" w14:textId="77777777" w:rsidTr="00536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5B9BD5"/>
              <w:left w:val="single" w:sz="4" w:space="0" w:color="5B9BD5"/>
              <w:bottom w:val="single" w:sz="4" w:space="0" w:color="5B9BD5"/>
              <w:right w:val="single" w:sz="4" w:space="0" w:color="5B9BD5"/>
            </w:tcBorders>
          </w:tcPr>
          <w:p w14:paraId="16C11A1D" w14:textId="77777777" w:rsidR="009965E7" w:rsidRDefault="009965E7" w:rsidP="00536FBD">
            <w:pPr>
              <w:spacing w:after="0"/>
            </w:pPr>
            <w:r>
              <w:t>Statistic</w:t>
            </w:r>
          </w:p>
        </w:tc>
        <w:tc>
          <w:tcPr>
            <w:tcW w:w="5103" w:type="dxa"/>
            <w:tcBorders>
              <w:top w:val="single" w:sz="4" w:space="0" w:color="5B9BD5"/>
              <w:left w:val="single" w:sz="4" w:space="0" w:color="5B9BD5"/>
              <w:bottom w:val="single" w:sz="4" w:space="0" w:color="5B9BD5"/>
              <w:right w:val="single" w:sz="4" w:space="0" w:color="5B9BD5"/>
            </w:tcBorders>
          </w:tcPr>
          <w:p w14:paraId="091379D2" w14:textId="77777777" w:rsidR="009965E7" w:rsidRDefault="009965E7" w:rsidP="00536FBD">
            <w:pPr>
              <w:spacing w:after="0"/>
              <w:cnfStyle w:val="100000000000" w:firstRow="1" w:lastRow="0" w:firstColumn="0" w:lastColumn="0" w:oddVBand="0" w:evenVBand="0" w:oddHBand="0" w:evenHBand="0" w:firstRowFirstColumn="0" w:firstRowLastColumn="0" w:lastRowFirstColumn="0" w:lastRowLastColumn="0"/>
            </w:pPr>
            <w:r>
              <w:t>Value</w:t>
            </w:r>
          </w:p>
        </w:tc>
      </w:tr>
      <w:tr w:rsidR="009965E7" w14:paraId="77A2477B"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E008A5A" w14:textId="77777777" w:rsidR="009965E7" w:rsidRDefault="009965E7" w:rsidP="00536FBD">
            <w:pPr>
              <w:tabs>
                <w:tab w:val="left" w:pos="4935"/>
              </w:tabs>
              <w:spacing w:after="0"/>
            </w:pPr>
            <w:r>
              <w:t>Demand to Supply Ratio+ (DSR+)</w:t>
            </w:r>
          </w:p>
        </w:tc>
        <w:tc>
          <w:tcPr>
            <w:tcW w:w="5103" w:type="dxa"/>
          </w:tcPr>
          <w:p w14:paraId="05C87E4F"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66</w:t>
            </w:r>
          </w:p>
        </w:tc>
      </w:tr>
      <w:tr w:rsidR="009965E7" w14:paraId="2D845CB3"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279D2F06" w14:textId="77777777" w:rsidR="009965E7" w:rsidRDefault="009965E7" w:rsidP="00536FBD">
            <w:pPr>
              <w:tabs>
                <w:tab w:val="left" w:pos="4935"/>
              </w:tabs>
              <w:spacing w:after="0"/>
            </w:pPr>
            <w:r>
              <w:t>Demand to Supply Ratio (DSR)</w:t>
            </w:r>
          </w:p>
        </w:tc>
        <w:tc>
          <w:tcPr>
            <w:tcW w:w="5103" w:type="dxa"/>
          </w:tcPr>
          <w:p w14:paraId="5421BE0A"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51</w:t>
            </w:r>
          </w:p>
        </w:tc>
      </w:tr>
      <w:tr w:rsidR="009965E7" w14:paraId="070D0977"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49E51B6A" w14:textId="77777777" w:rsidR="009965E7" w:rsidRDefault="009965E7" w:rsidP="00536FBD">
            <w:pPr>
              <w:tabs>
                <w:tab w:val="left" w:pos="4935"/>
              </w:tabs>
              <w:spacing w:after="0"/>
            </w:pPr>
            <w:r>
              <w:t>Statistical reliability+ (SR+)</w:t>
            </w:r>
          </w:p>
        </w:tc>
        <w:tc>
          <w:tcPr>
            <w:tcW w:w="5103" w:type="dxa"/>
          </w:tcPr>
          <w:p w14:paraId="755989EC"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81</w:t>
            </w:r>
          </w:p>
        </w:tc>
      </w:tr>
      <w:tr w:rsidR="009965E7" w14:paraId="55764F3D"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1A30CEE8" w14:textId="77777777" w:rsidR="009965E7" w:rsidRDefault="009965E7" w:rsidP="00536FBD">
            <w:pPr>
              <w:tabs>
                <w:tab w:val="left" w:pos="4935"/>
              </w:tabs>
              <w:spacing w:after="0"/>
            </w:pPr>
            <w:r>
              <w:t>Statistical reliability (SR)</w:t>
            </w:r>
          </w:p>
        </w:tc>
        <w:tc>
          <w:tcPr>
            <w:tcW w:w="5103" w:type="dxa"/>
          </w:tcPr>
          <w:p w14:paraId="5D7E685B"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80</w:t>
            </w:r>
          </w:p>
        </w:tc>
      </w:tr>
      <w:tr w:rsidR="009965E7" w14:paraId="40058013"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6CAAB61" w14:textId="77777777" w:rsidR="009965E7" w:rsidRDefault="009965E7" w:rsidP="00536FBD">
            <w:pPr>
              <w:tabs>
                <w:tab w:val="left" w:pos="4935"/>
              </w:tabs>
              <w:spacing w:after="0"/>
            </w:pPr>
            <w:r>
              <w:t>Typical value (TV)</w:t>
            </w:r>
          </w:p>
        </w:tc>
        <w:tc>
          <w:tcPr>
            <w:tcW w:w="5103" w:type="dxa"/>
          </w:tcPr>
          <w:p w14:paraId="181D8860"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$1,321,700</w:t>
            </w:r>
          </w:p>
        </w:tc>
      </w:tr>
      <w:tr w:rsidR="009965E7" w14:paraId="09083806"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2E0F3165" w14:textId="77777777" w:rsidR="009965E7" w:rsidRDefault="009965E7" w:rsidP="00536FBD">
            <w:pPr>
              <w:tabs>
                <w:tab w:val="left" w:pos="4935"/>
              </w:tabs>
              <w:spacing w:after="0"/>
            </w:pPr>
            <w:r>
              <w:t>Days on market (DOM)</w:t>
            </w:r>
          </w:p>
        </w:tc>
        <w:tc>
          <w:tcPr>
            <w:tcW w:w="5103" w:type="dxa"/>
          </w:tcPr>
          <w:p w14:paraId="17E6B707"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52 days</w:t>
            </w:r>
          </w:p>
        </w:tc>
      </w:tr>
      <w:tr w:rsidR="009965E7" w14:paraId="4EA4C296"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B5A05AA" w14:textId="77777777" w:rsidR="009965E7" w:rsidRDefault="009965E7" w:rsidP="00536FBD">
            <w:pPr>
              <w:tabs>
                <w:tab w:val="left" w:pos="4935"/>
              </w:tabs>
              <w:spacing w:after="0"/>
            </w:pPr>
            <w:r>
              <w:t>Avg vendor discount (DISCOUNT)</w:t>
            </w:r>
          </w:p>
        </w:tc>
        <w:tc>
          <w:tcPr>
            <w:tcW w:w="5103" w:type="dxa"/>
          </w:tcPr>
          <w:p w14:paraId="6798092C"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4.69%</w:t>
            </w:r>
          </w:p>
        </w:tc>
      </w:tr>
      <w:tr w:rsidR="009965E7" w14:paraId="27EFD58F"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21C9DA06" w14:textId="77777777" w:rsidR="009965E7" w:rsidRDefault="009965E7" w:rsidP="00536FBD">
            <w:pPr>
              <w:tabs>
                <w:tab w:val="left" w:pos="4935"/>
              </w:tabs>
              <w:spacing w:after="0"/>
            </w:pPr>
            <w:r>
              <w:t>Auction clearance rate (ACR)</w:t>
            </w:r>
          </w:p>
        </w:tc>
        <w:tc>
          <w:tcPr>
            <w:tcW w:w="5103" w:type="dxa"/>
          </w:tcPr>
          <w:p w14:paraId="57BDD060"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85.7%</w:t>
            </w:r>
          </w:p>
        </w:tc>
      </w:tr>
      <w:tr w:rsidR="009965E7" w14:paraId="49CD2B1A"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6E08AE5" w14:textId="77777777" w:rsidR="009965E7" w:rsidRDefault="009965E7" w:rsidP="00536FBD">
            <w:pPr>
              <w:tabs>
                <w:tab w:val="left" w:pos="4935"/>
              </w:tabs>
              <w:spacing w:after="0"/>
            </w:pPr>
            <w:r>
              <w:t>Percent renters in market (RENTERS)</w:t>
            </w:r>
          </w:p>
        </w:tc>
        <w:tc>
          <w:tcPr>
            <w:tcW w:w="5103" w:type="dxa"/>
          </w:tcPr>
          <w:p w14:paraId="5F3D32A7"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70.3%</w:t>
            </w:r>
          </w:p>
        </w:tc>
      </w:tr>
      <w:tr w:rsidR="009965E7" w14:paraId="53364857"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5EFB56A4" w14:textId="77777777" w:rsidR="009965E7" w:rsidRDefault="009965E7" w:rsidP="00536FBD">
            <w:pPr>
              <w:tabs>
                <w:tab w:val="left" w:pos="4935"/>
              </w:tabs>
              <w:spacing w:after="0"/>
            </w:pPr>
            <w:r>
              <w:t>Vacancy rate (VACANCY)</w:t>
            </w:r>
          </w:p>
        </w:tc>
        <w:tc>
          <w:tcPr>
            <w:tcW w:w="5103" w:type="dxa"/>
          </w:tcPr>
          <w:p w14:paraId="6B37B561"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2.3%</w:t>
            </w:r>
          </w:p>
        </w:tc>
      </w:tr>
      <w:tr w:rsidR="009965E7" w14:paraId="19759C06"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6482266B" w14:textId="77777777" w:rsidR="009965E7" w:rsidRDefault="009965E7" w:rsidP="00536FBD">
            <w:pPr>
              <w:tabs>
                <w:tab w:val="left" w:pos="4935"/>
              </w:tabs>
              <w:spacing w:after="0"/>
            </w:pPr>
            <w:r>
              <w:t>Gross rental yield (YIELD)</w:t>
            </w:r>
          </w:p>
        </w:tc>
        <w:tc>
          <w:tcPr>
            <w:tcW w:w="5103" w:type="dxa"/>
          </w:tcPr>
          <w:p w14:paraId="7008B787"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2.53%</w:t>
            </w:r>
          </w:p>
        </w:tc>
      </w:tr>
      <w:tr w:rsidR="009965E7" w14:paraId="61B8C5C0"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4FEF4DE6" w14:textId="77777777" w:rsidR="009965E7" w:rsidRDefault="009965E7" w:rsidP="00536FBD">
            <w:pPr>
              <w:tabs>
                <w:tab w:val="left" w:pos="4935"/>
              </w:tabs>
              <w:spacing w:after="0"/>
            </w:pPr>
            <w:r>
              <w:t>Percent stock on market (SOM%)</w:t>
            </w:r>
          </w:p>
        </w:tc>
        <w:tc>
          <w:tcPr>
            <w:tcW w:w="5103" w:type="dxa"/>
          </w:tcPr>
          <w:p w14:paraId="2A8C417B"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1.5%</w:t>
            </w:r>
          </w:p>
        </w:tc>
      </w:tr>
      <w:tr w:rsidR="009965E7" w14:paraId="3127913F"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8874E30" w14:textId="77777777" w:rsidR="009965E7" w:rsidRDefault="009965E7" w:rsidP="00536FBD">
            <w:pPr>
              <w:tabs>
                <w:tab w:val="left" w:pos="4935"/>
              </w:tabs>
              <w:spacing w:after="0"/>
            </w:pPr>
            <w:r>
              <w:t>Online search interest (OSI)</w:t>
            </w:r>
          </w:p>
        </w:tc>
        <w:tc>
          <w:tcPr>
            <w:tcW w:w="5103" w:type="dxa"/>
          </w:tcPr>
          <w:p w14:paraId="49CF4F71"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461</w:t>
            </w:r>
          </w:p>
        </w:tc>
      </w:tr>
      <w:tr w:rsidR="009965E7" w14:paraId="1D9E10D8"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55FBE6A4" w14:textId="77777777" w:rsidR="009965E7" w:rsidRDefault="009965E7" w:rsidP="00536FBD">
            <w:pPr>
              <w:tabs>
                <w:tab w:val="left" w:pos="4935"/>
              </w:tabs>
              <w:spacing w:after="0"/>
            </w:pPr>
            <w:r>
              <w:t>Market cycle timing (MCT)</w:t>
            </w:r>
          </w:p>
        </w:tc>
        <w:tc>
          <w:tcPr>
            <w:tcW w:w="5103" w:type="dxa"/>
          </w:tcPr>
          <w:p w14:paraId="3BCC09BB"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76</w:t>
            </w:r>
          </w:p>
        </w:tc>
      </w:tr>
      <w:tr w:rsidR="009965E7" w14:paraId="20E54D89"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53F8F400" w14:textId="77777777" w:rsidR="009965E7" w:rsidRDefault="009965E7" w:rsidP="00536FBD">
            <w:pPr>
              <w:tabs>
                <w:tab w:val="left" w:pos="4935"/>
              </w:tabs>
              <w:spacing w:after="0"/>
            </w:pPr>
            <w:r>
              <w:t>Neighbour price balancing (NPB)</w:t>
            </w:r>
          </w:p>
        </w:tc>
        <w:tc>
          <w:tcPr>
            <w:tcW w:w="5103" w:type="dxa"/>
          </w:tcPr>
          <w:p w14:paraId="10B5936C"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74,496$/km</w:t>
            </w:r>
          </w:p>
        </w:tc>
      </w:tr>
      <w:tr w:rsidR="009965E7" w14:paraId="0D73D680"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17DC3632" w14:textId="77777777" w:rsidR="009965E7" w:rsidRDefault="009965E7" w:rsidP="00536FBD">
            <w:pPr>
              <w:tabs>
                <w:tab w:val="left" w:pos="4935"/>
              </w:tabs>
              <w:spacing w:after="0"/>
            </w:pPr>
            <w:r>
              <w:t>Ripple effect potential (REP)</w:t>
            </w:r>
          </w:p>
        </w:tc>
        <w:tc>
          <w:tcPr>
            <w:tcW w:w="5103" w:type="dxa"/>
          </w:tcPr>
          <w:p w14:paraId="7617E331"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1.86%</w:t>
            </w:r>
          </w:p>
        </w:tc>
      </w:tr>
      <w:tr w:rsidR="009965E7" w14:paraId="7511CCC9"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2FF89E2E" w14:textId="77777777" w:rsidR="009965E7" w:rsidRDefault="009965E7" w:rsidP="00536FBD">
            <w:pPr>
              <w:tabs>
                <w:tab w:val="left" w:pos="4935"/>
              </w:tabs>
              <w:spacing w:after="0"/>
            </w:pPr>
            <w:r>
              <w:t>Unit to house value (U2H)</w:t>
            </w:r>
          </w:p>
        </w:tc>
        <w:tc>
          <w:tcPr>
            <w:tcW w:w="5103" w:type="dxa"/>
          </w:tcPr>
          <w:p w14:paraId="6FD90E98"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15</w:t>
            </w:r>
          </w:p>
        </w:tc>
      </w:tr>
      <w:tr w:rsidR="009965E7" w14:paraId="36A2AB75"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46EA26B1" w14:textId="77777777" w:rsidR="009965E7" w:rsidRDefault="009965E7" w:rsidP="00536FBD">
            <w:pPr>
              <w:tabs>
                <w:tab w:val="left" w:pos="4935"/>
              </w:tabs>
              <w:spacing w:after="0"/>
            </w:pPr>
            <w:r>
              <w:t>Long term growth (LTG)</w:t>
            </w:r>
          </w:p>
        </w:tc>
        <w:tc>
          <w:tcPr>
            <w:tcW w:w="5103" w:type="dxa"/>
          </w:tcPr>
          <w:p w14:paraId="1FDB2EE4"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4.65%</w:t>
            </w:r>
          </w:p>
        </w:tc>
      </w:tr>
      <w:tr w:rsidR="009965E7" w14:paraId="4A9DDFC7"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19987E0C" w14:textId="77777777" w:rsidR="009965E7" w:rsidRDefault="009965E7" w:rsidP="00536FBD">
            <w:pPr>
              <w:tabs>
                <w:tab w:val="left" w:pos="4935"/>
              </w:tabs>
              <w:spacing w:after="0"/>
            </w:pPr>
            <w:r>
              <w:t>Percentage rent growth (PRG)</w:t>
            </w:r>
          </w:p>
        </w:tc>
        <w:tc>
          <w:tcPr>
            <w:tcW w:w="5103" w:type="dxa"/>
          </w:tcPr>
          <w:p w14:paraId="0A286456"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7.35%</w:t>
            </w:r>
          </w:p>
        </w:tc>
      </w:tr>
      <w:tr w:rsidR="009965E7" w14:paraId="5EC4D397"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259EB966" w14:textId="77777777" w:rsidR="009965E7" w:rsidRDefault="009965E7" w:rsidP="00536FBD">
            <w:pPr>
              <w:tabs>
                <w:tab w:val="left" w:pos="4935"/>
              </w:tabs>
              <w:spacing w:after="0"/>
            </w:pPr>
            <w:r>
              <w:t>Percentage sales growth (PSG)</w:t>
            </w:r>
          </w:p>
        </w:tc>
        <w:tc>
          <w:tcPr>
            <w:tcW w:w="5103" w:type="dxa"/>
          </w:tcPr>
          <w:p w14:paraId="553B4B4E"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9%</w:t>
            </w:r>
          </w:p>
        </w:tc>
      </w:tr>
      <w:tr w:rsidR="009965E7" w14:paraId="23B6DDAA"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FF6230B" w14:textId="77777777" w:rsidR="009965E7" w:rsidRDefault="009965E7" w:rsidP="00536FBD">
            <w:pPr>
              <w:tabs>
                <w:tab w:val="left" w:pos="4935"/>
              </w:tabs>
              <w:spacing w:after="0"/>
            </w:pPr>
            <w:r>
              <w:t>Percent sales by auction (SBA%)</w:t>
            </w:r>
          </w:p>
        </w:tc>
        <w:tc>
          <w:tcPr>
            <w:tcW w:w="5103" w:type="dxa"/>
          </w:tcPr>
          <w:p w14:paraId="60AB3902" w14:textId="77777777" w:rsidR="009965E7" w:rsidRDefault="009965E7" w:rsidP="00536FBD">
            <w:pPr>
              <w:spacing w:after="0"/>
              <w:cnfStyle w:val="000000100000" w:firstRow="0" w:lastRow="0" w:firstColumn="0" w:lastColumn="0" w:oddVBand="0" w:evenVBand="0" w:oddHBand="1" w:evenHBand="0" w:firstRowFirstColumn="0" w:firstRowLastColumn="0" w:lastRowFirstColumn="0" w:lastRowLastColumn="0"/>
            </w:pPr>
            <w:r>
              <w:t>54.5%</w:t>
            </w:r>
          </w:p>
        </w:tc>
      </w:tr>
      <w:tr w:rsidR="009965E7" w14:paraId="0524931D" w14:textId="77777777" w:rsidTr="00536FBD">
        <w:tc>
          <w:tcPr>
            <w:cnfStyle w:val="001000000000" w:firstRow="0" w:lastRow="0" w:firstColumn="1" w:lastColumn="0" w:oddVBand="0" w:evenVBand="0" w:oddHBand="0" w:evenHBand="0" w:firstRowFirstColumn="0" w:firstRowLastColumn="0" w:lastRowFirstColumn="0" w:lastRowLastColumn="0"/>
            <w:tcW w:w="4815" w:type="dxa"/>
          </w:tcPr>
          <w:p w14:paraId="396297BA" w14:textId="77777777" w:rsidR="009965E7" w:rsidRDefault="009965E7" w:rsidP="00536FBD">
            <w:pPr>
              <w:tabs>
                <w:tab w:val="left" w:pos="4935"/>
              </w:tabs>
              <w:spacing w:after="0"/>
            </w:pPr>
            <w:r>
              <w:t>Percent open for inspection (OFI%)</w:t>
            </w:r>
          </w:p>
        </w:tc>
        <w:tc>
          <w:tcPr>
            <w:tcW w:w="5103" w:type="dxa"/>
          </w:tcPr>
          <w:p w14:paraId="166393AA" w14:textId="77777777" w:rsidR="009965E7" w:rsidRDefault="009965E7" w:rsidP="00536FBD">
            <w:pPr>
              <w:spacing w:after="0"/>
              <w:cnfStyle w:val="000000000000" w:firstRow="0" w:lastRow="0" w:firstColumn="0" w:lastColumn="0" w:oddVBand="0" w:evenVBand="0" w:oddHBand="0" w:evenHBand="0" w:firstRowFirstColumn="0" w:firstRowLastColumn="0" w:lastRowFirstColumn="0" w:lastRowLastColumn="0"/>
            </w:pPr>
            <w:r>
              <w:t>20.6%</w:t>
            </w:r>
          </w:p>
        </w:tc>
      </w:tr>
    </w:tbl>
    <w:p w14:paraId="672C7568" w14:textId="77777777" w:rsidR="009965E7" w:rsidRDefault="009965E7" w:rsidP="009965E7"/>
    <w:p w14:paraId="2FA107A0" w14:textId="77777777" w:rsidR="00FD42E7" w:rsidRDefault="009965E7" w:rsidP="00FD42E7">
      <w:pPr>
        <w:spacing w:after="0"/>
      </w:pPr>
      <w:r>
        <w:t>All data is for NORTH MELBOURNE VIC 3051 Houses for the month ending 31 October 2021.</w:t>
      </w:r>
    </w:p>
    <w:p w14:paraId="4FAE4DBB" w14:textId="77777777" w:rsidR="009965E7" w:rsidRDefault="00535164" w:rsidP="00FD42E7">
      <w:pPr>
        <w:spacing w:after="0"/>
        <w:rPr>
          <w:rFonts w:asciiTheme="majorHAnsi" w:eastAsiaTheme="majorEastAsia" w:hAnsiTheme="majorHAnsi" w:cstheme="majorBidi"/>
          <w:b/>
          <w:bCs/>
          <w:color w:val="4472C4" w:themeColor="accent1"/>
          <w:sz w:val="26"/>
          <w:szCs w:val="26"/>
        </w:rPr>
      </w:pPr>
      <w:r>
        <w:t>This data will change from month to month as the market dynamics move around.</w:t>
      </w:r>
      <w:r w:rsidR="009965E7">
        <w:br w:type="page"/>
      </w:r>
    </w:p>
    <w:p w14:paraId="6CE8D925" w14:textId="77777777" w:rsidR="009965E7" w:rsidRDefault="009965E7" w:rsidP="009965E7">
      <w:pPr>
        <w:pStyle w:val="Heading2"/>
      </w:pPr>
      <w:bookmarkStart w:id="32" w:name="_Toc1637625179123"/>
      <w:r>
        <w:lastRenderedPageBreak/>
        <w:t>Strengths and Weaknesses</w:t>
      </w:r>
      <w:bookmarkEnd w:id="32"/>
    </w:p>
    <w:p w14:paraId="3BDF54F5" w14:textId="77777777" w:rsidR="009965E7" w:rsidRDefault="009965E7" w:rsidP="009965E7">
      <w:r>
        <w:t>The following chart highlights the strengths and weaknesses of NORTH MELBOURNE VIC 3051 Houses with respect to each of the metrics. Each metric is scaled to a score out of 100 so they can all be compared fairly.</w:t>
      </w:r>
    </w:p>
    <w:p w14:paraId="01CAFFDE" w14:textId="77777777" w:rsidR="009965E7" w:rsidRDefault="009965E7" w:rsidP="009965E7">
      <w:pPr>
        <w:jc w:val="center"/>
      </w:pPr>
      <w:r>
        <w:rPr>
          <w:noProof/>
        </w:rPr>
        <w:drawing>
          <wp:inline distT="0" distB="0" distL="0" distR="0" wp14:anchorId="380E9E2D" wp14:editId="23D6E5FD">
            <wp:extent cx="6315075" cy="5724525"/>
            <wp:effectExtent l="0" t="0" r="9525" b="9525"/>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3C6985A" w14:textId="77777777" w:rsidR="009965E7" w:rsidRDefault="009965E7" w:rsidP="009965E7">
      <w:r>
        <w:t>A good market is represented by a large polygon. The vertices close to the outside edge of the chart highlight the market’s strengths. Whereas a weakness is seen by a vertex close to the centre of the circle.</w:t>
      </w:r>
    </w:p>
    <w:p w14:paraId="54CF9115" w14:textId="77777777" w:rsidR="009965E7" w:rsidRPr="0096336A" w:rsidRDefault="009965E7" w:rsidP="009965E7">
      <w:pPr>
        <w:rPr>
          <w:sz w:val="4"/>
          <w:szCs w:val="4"/>
        </w:rPr>
      </w:pPr>
      <w:r>
        <w:t>Please note that if there was no data available for a metric, an average will be used instead.</w:t>
      </w:r>
      <w:r>
        <w:br w:type="page"/>
      </w:r>
    </w:p>
    <w:p w14:paraId="39FDC20C" w14:textId="77777777" w:rsidR="009965E7" w:rsidRDefault="009965E7" w:rsidP="009965E7">
      <w:pPr>
        <w:pStyle w:val="Heading2"/>
      </w:pPr>
      <w:bookmarkStart w:id="33" w:name="_Toc1637625179124"/>
      <w:r>
        <w:lastRenderedPageBreak/>
        <w:t>Growth forecast</w:t>
      </w:r>
      <w:bookmarkEnd w:id="33"/>
    </w:p>
    <w:p w14:paraId="570A2405" w14:textId="77777777" w:rsidR="009965E7" w:rsidRPr="00C67024" w:rsidRDefault="009965E7" w:rsidP="009965E7">
      <w:pPr>
        <w:spacing w:after="0" w:line="240" w:lineRule="auto"/>
        <w:rPr>
          <w:sz w:val="10"/>
          <w:szCs w:val="10"/>
        </w:rPr>
      </w:pPr>
    </w:p>
    <w:p w14:paraId="3B14AF9B" w14:textId="77777777" w:rsidR="009965E7" w:rsidRDefault="009965E7" w:rsidP="009965E7">
      <w:pPr>
        <w:pStyle w:val="Standard"/>
        <w:spacing w:before="57" w:after="113" w:line="240" w:lineRule="auto"/>
      </w:pPr>
      <w:r>
        <w:rPr>
          <w:b/>
          <w:bCs/>
          <w:noProof/>
        </w:rPr>
        <w:drawing>
          <wp:inline distT="0" distB="0" distL="0" distR="0" wp14:anchorId="0641D2E3" wp14:editId="2643F5E1">
            <wp:extent cx="6591300" cy="2085975"/>
            <wp:effectExtent l="0" t="0" r="0" b="9525"/>
            <wp:docPr id="503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23A19458" w14:textId="77777777" w:rsidR="009965E7" w:rsidRDefault="009965E7" w:rsidP="009965E7">
      <w:r>
        <w:t>The bar chart shows the forecasts over 1...5 years for the market under examination and its local government area; significant urban area (if applicable); and the nation as a whole. These forecasts are based on the Demand to Supply Ratio (DSR+). The DSR+ is in turn based on the other metrics you've already seen in this report. We've witnessed the growth of hundreds of thousands of property markets with all sorts of DSR+ scores. We've been calculating such scores Australia-wide since 2010. Now we can estimate how a market will grow if it has a specific DSR+.</w:t>
      </w:r>
    </w:p>
    <w:p w14:paraId="08C4AEF1" w14:textId="77777777" w:rsidR="009965E7" w:rsidRDefault="009965E7" w:rsidP="009965E7">
      <w:pPr>
        <w:pStyle w:val="Standard"/>
        <w:spacing w:before="57" w:after="113" w:line="240" w:lineRule="auto"/>
      </w:pPr>
      <w:r>
        <w:rPr>
          <w:b/>
          <w:bCs/>
          <w:noProof/>
        </w:rPr>
        <w:drawing>
          <wp:anchor distT="0" distB="0" distL="114300" distR="114300" simplePos="0" relativeHeight="251658752" behindDoc="0" locked="0" layoutInCell="1" allowOverlap="1" wp14:anchorId="183C810C" wp14:editId="642F67B3">
            <wp:simplePos x="0" y="0"/>
            <wp:positionH relativeFrom="column">
              <wp:posOffset>0</wp:posOffset>
            </wp:positionH>
            <wp:positionV relativeFrom="paragraph">
              <wp:posOffset>172720</wp:posOffset>
            </wp:positionV>
            <wp:extent cx="4857750" cy="2724150"/>
            <wp:effectExtent l="0" t="0" r="0" b="0"/>
            <wp:wrapSquare wrapText="bothSides"/>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anchor>
        </w:drawing>
      </w:r>
    </w:p>
    <w:p w14:paraId="7C780526" w14:textId="77777777" w:rsidR="009965E7" w:rsidRDefault="009965E7" w:rsidP="009965E7">
      <w:pPr>
        <w:pStyle w:val="Standard"/>
        <w:spacing w:before="57" w:after="113" w:line="240" w:lineRule="auto"/>
      </w:pPr>
      <w:r>
        <w:t>The growth forecast chart shows the predicted path of growth. The realistic path appears in the middle of the band. The upper edge of the band is the optimistic growth forecast. The lower confidence bound is the pessimistic forecast.</w:t>
      </w:r>
    </w:p>
    <w:p w14:paraId="236A8C73" w14:textId="77777777" w:rsidR="009965E7" w:rsidRDefault="009965E7" w:rsidP="009965E7">
      <w:pPr>
        <w:pStyle w:val="Standard"/>
        <w:spacing w:before="57" w:after="113" w:line="240" w:lineRule="auto"/>
      </w:pPr>
      <w:r>
        <w:t>We have a relatively high level of confidence that the property market will experience growth over the coming years somewhere within this band. However, there are no guarantees.</w:t>
      </w:r>
    </w:p>
    <w:p w14:paraId="499AE52E" w14:textId="77777777" w:rsidR="009965E7" w:rsidRDefault="009965E7" w:rsidP="009965E7">
      <w:pPr>
        <w:pStyle w:val="Standard"/>
        <w:spacing w:before="57" w:after="113" w:line="240" w:lineRule="auto"/>
      </w:pPr>
    </w:p>
    <w:tbl>
      <w:tblPr>
        <w:tblStyle w:val="GridTable4-Accent1"/>
        <w:tblW w:w="0" w:type="auto"/>
        <w:tblLook w:val="04A0" w:firstRow="1" w:lastRow="0" w:firstColumn="1" w:lastColumn="0" w:noHBand="0" w:noVBand="1"/>
      </w:tblPr>
      <w:tblGrid>
        <w:gridCol w:w="1533"/>
        <w:gridCol w:w="1297"/>
        <w:gridCol w:w="1418"/>
        <w:gridCol w:w="1276"/>
        <w:gridCol w:w="1559"/>
        <w:gridCol w:w="1660"/>
        <w:gridCol w:w="1713"/>
      </w:tblGrid>
      <w:tr w:rsidR="009965E7" w14:paraId="157E7B71" w14:textId="77777777" w:rsidTr="00536F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vMerge w:val="restart"/>
          </w:tcPr>
          <w:p w14:paraId="5656E18A" w14:textId="77777777" w:rsidR="009965E7" w:rsidRDefault="009965E7" w:rsidP="00536FBD">
            <w:pPr>
              <w:pStyle w:val="Standard"/>
              <w:spacing w:before="57" w:after="113" w:line="240" w:lineRule="auto"/>
              <w:jc w:val="center"/>
            </w:pPr>
            <w:r w:rsidRPr="00DF5079">
              <w:t>Year-month</w:t>
            </w:r>
          </w:p>
        </w:tc>
        <w:tc>
          <w:tcPr>
            <w:tcW w:w="3991" w:type="dxa"/>
            <w:gridSpan w:val="3"/>
          </w:tcPr>
          <w:p w14:paraId="5E173E14" w14:textId="77777777" w:rsidR="009965E7" w:rsidRDefault="009965E7" w:rsidP="00536FBD">
            <w:pPr>
              <w:pStyle w:val="Standard"/>
              <w:spacing w:before="57" w:after="113" w:line="240" w:lineRule="auto"/>
              <w:jc w:val="center"/>
              <w:cnfStyle w:val="100000000000" w:firstRow="1" w:lastRow="0" w:firstColumn="0" w:lastColumn="0" w:oddVBand="0" w:evenVBand="0" w:oddHBand="0" w:evenHBand="0" w:firstRowFirstColumn="0" w:firstRowLastColumn="0" w:lastRowFirstColumn="0" w:lastRowLastColumn="0"/>
            </w:pPr>
            <w:r>
              <w:t>Growth %</w:t>
            </w:r>
          </w:p>
        </w:tc>
        <w:tc>
          <w:tcPr>
            <w:tcW w:w="4932" w:type="dxa"/>
            <w:gridSpan w:val="3"/>
          </w:tcPr>
          <w:p w14:paraId="3CB56207" w14:textId="77777777" w:rsidR="009965E7" w:rsidRDefault="009965E7" w:rsidP="00536FBD">
            <w:pPr>
              <w:pStyle w:val="Standard"/>
              <w:spacing w:before="57" w:after="113" w:line="240" w:lineRule="auto"/>
              <w:jc w:val="center"/>
              <w:cnfStyle w:val="100000000000" w:firstRow="1" w:lastRow="0" w:firstColumn="0" w:lastColumn="0" w:oddVBand="0" w:evenVBand="0" w:oddHBand="0" w:evenHBand="0" w:firstRowFirstColumn="0" w:firstRowLastColumn="0" w:lastRowFirstColumn="0" w:lastRowLastColumn="0"/>
            </w:pPr>
            <w:r>
              <w:t>Forecasted value ($)</w:t>
            </w:r>
          </w:p>
        </w:tc>
      </w:tr>
      <w:tr w:rsidR="009965E7" w14:paraId="670AF366"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vMerge/>
          </w:tcPr>
          <w:p w14:paraId="305249CF" w14:textId="77777777" w:rsidR="009965E7" w:rsidRDefault="009965E7" w:rsidP="00536FBD">
            <w:pPr>
              <w:pStyle w:val="Standard"/>
              <w:spacing w:before="57" w:after="113" w:line="240" w:lineRule="auto"/>
              <w:jc w:val="center"/>
            </w:pPr>
          </w:p>
        </w:tc>
        <w:tc>
          <w:tcPr>
            <w:tcW w:w="1297" w:type="dxa"/>
          </w:tcPr>
          <w:p w14:paraId="5FE66709"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t>Pessimistic</w:t>
            </w:r>
          </w:p>
        </w:tc>
        <w:tc>
          <w:tcPr>
            <w:tcW w:w="1418" w:type="dxa"/>
          </w:tcPr>
          <w:p w14:paraId="250BA022"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t>Realistic</w:t>
            </w:r>
          </w:p>
        </w:tc>
        <w:tc>
          <w:tcPr>
            <w:tcW w:w="1276" w:type="dxa"/>
          </w:tcPr>
          <w:p w14:paraId="4A0B065A"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t>Optimistic</w:t>
            </w:r>
          </w:p>
        </w:tc>
        <w:tc>
          <w:tcPr>
            <w:tcW w:w="1559" w:type="dxa"/>
          </w:tcPr>
          <w:p w14:paraId="23FF87E8"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t>Pessimistic</w:t>
            </w:r>
          </w:p>
        </w:tc>
        <w:tc>
          <w:tcPr>
            <w:tcW w:w="1660" w:type="dxa"/>
          </w:tcPr>
          <w:p w14:paraId="1D0DA7A0"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t>Realistic</w:t>
            </w:r>
          </w:p>
        </w:tc>
        <w:tc>
          <w:tcPr>
            <w:tcW w:w="1713" w:type="dxa"/>
          </w:tcPr>
          <w:p w14:paraId="2FE45E85"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t>Optimistic</w:t>
            </w:r>
          </w:p>
        </w:tc>
      </w:tr>
      <w:tr w:rsidR="009965E7" w14:paraId="52B9205E" w14:textId="77777777" w:rsidTr="00536FBD">
        <w:tc>
          <w:tcPr>
            <w:cnfStyle w:val="001000000000" w:firstRow="0" w:lastRow="0" w:firstColumn="1" w:lastColumn="0" w:oddVBand="0" w:evenVBand="0" w:oddHBand="0" w:evenHBand="0" w:firstRowFirstColumn="0" w:firstRowLastColumn="0" w:lastRowFirstColumn="0" w:lastRowLastColumn="0"/>
            <w:tcW w:w="1533" w:type="dxa"/>
          </w:tcPr>
          <w:p w14:paraId="2A287D27" w14:textId="77777777" w:rsidR="009965E7" w:rsidRDefault="009965E7" w:rsidP="00536FBD">
            <w:pPr>
              <w:pStyle w:val="Standard"/>
              <w:spacing w:before="57" w:after="113" w:line="240" w:lineRule="auto"/>
              <w:jc w:val="center"/>
            </w:pPr>
            <w:r w:rsidRPr="006E5933">
              <w:rPr>
                <w:b w:val="0"/>
                <w:bCs w:val="0"/>
              </w:rPr>
              <w:t>2022-10</w:t>
            </w:r>
          </w:p>
        </w:tc>
        <w:tc>
          <w:tcPr>
            <w:tcW w:w="1297" w:type="dxa"/>
          </w:tcPr>
          <w:p w14:paraId="6E5606A0" w14:textId="77777777" w:rsidR="009965E7"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6.3%</w:t>
            </w:r>
          </w:p>
        </w:tc>
        <w:tc>
          <w:tcPr>
            <w:tcW w:w="1418" w:type="dxa"/>
          </w:tcPr>
          <w:p w14:paraId="75491092" w14:textId="77777777" w:rsidR="009965E7"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8.3%</w:t>
            </w:r>
          </w:p>
        </w:tc>
        <w:tc>
          <w:tcPr>
            <w:tcW w:w="1276" w:type="dxa"/>
          </w:tcPr>
          <w:p w14:paraId="0F0DB956" w14:textId="77777777" w:rsidR="009965E7"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10.2%</w:t>
            </w:r>
          </w:p>
        </w:tc>
        <w:tc>
          <w:tcPr>
            <w:tcW w:w="1559" w:type="dxa"/>
          </w:tcPr>
          <w:p w14:paraId="1C8BDB4E" w14:textId="77777777" w:rsidR="009965E7" w:rsidRPr="006E5933"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$1,405,000</w:t>
            </w:r>
          </w:p>
        </w:tc>
        <w:tc>
          <w:tcPr>
            <w:tcW w:w="1660" w:type="dxa"/>
          </w:tcPr>
          <w:p w14:paraId="3C69089E" w14:textId="77777777" w:rsidR="009965E7" w:rsidRPr="006E5933"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$1,431,000</w:t>
            </w:r>
          </w:p>
        </w:tc>
        <w:tc>
          <w:tcPr>
            <w:tcW w:w="1713" w:type="dxa"/>
          </w:tcPr>
          <w:p w14:paraId="247C619A" w14:textId="77777777" w:rsidR="009965E7" w:rsidRPr="006E5933"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$1,457,000</w:t>
            </w:r>
          </w:p>
        </w:tc>
      </w:tr>
      <w:tr w:rsidR="009965E7" w14:paraId="721A52BC"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14:paraId="231BA4AB" w14:textId="77777777" w:rsidR="009965E7" w:rsidRDefault="009965E7" w:rsidP="00536FBD">
            <w:pPr>
              <w:pStyle w:val="Standard"/>
              <w:spacing w:before="57" w:after="113" w:line="240" w:lineRule="auto"/>
              <w:jc w:val="center"/>
            </w:pPr>
            <w:r w:rsidRPr="006E5933">
              <w:rPr>
                <w:b w:val="0"/>
                <w:bCs w:val="0"/>
              </w:rPr>
              <w:t>2023-10</w:t>
            </w:r>
          </w:p>
        </w:tc>
        <w:tc>
          <w:tcPr>
            <w:tcW w:w="1297" w:type="dxa"/>
          </w:tcPr>
          <w:p w14:paraId="76890AE3"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12.0%</w:t>
            </w:r>
          </w:p>
        </w:tc>
        <w:tc>
          <w:tcPr>
            <w:tcW w:w="1418" w:type="dxa"/>
          </w:tcPr>
          <w:p w14:paraId="02738D58"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15.9%</w:t>
            </w:r>
          </w:p>
        </w:tc>
        <w:tc>
          <w:tcPr>
            <w:tcW w:w="1276" w:type="dxa"/>
          </w:tcPr>
          <w:p w14:paraId="26022B95"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19.9%</w:t>
            </w:r>
          </w:p>
        </w:tc>
        <w:tc>
          <w:tcPr>
            <w:tcW w:w="1559" w:type="dxa"/>
          </w:tcPr>
          <w:p w14:paraId="3C4EB8F7" w14:textId="77777777" w:rsidR="009965E7" w:rsidRPr="006E5933"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$1,480,000</w:t>
            </w:r>
          </w:p>
        </w:tc>
        <w:tc>
          <w:tcPr>
            <w:tcW w:w="1660" w:type="dxa"/>
          </w:tcPr>
          <w:p w14:paraId="331AB14D" w14:textId="77777777" w:rsidR="009965E7" w:rsidRPr="006E5933"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$1,532,000</w:t>
            </w:r>
          </w:p>
        </w:tc>
        <w:tc>
          <w:tcPr>
            <w:tcW w:w="1713" w:type="dxa"/>
          </w:tcPr>
          <w:p w14:paraId="22109B16" w14:textId="77777777" w:rsidR="009965E7" w:rsidRPr="006E5933"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$1,585,000</w:t>
            </w:r>
          </w:p>
        </w:tc>
      </w:tr>
      <w:tr w:rsidR="009965E7" w14:paraId="62AD8B6E" w14:textId="77777777" w:rsidTr="00536FBD">
        <w:tc>
          <w:tcPr>
            <w:cnfStyle w:val="001000000000" w:firstRow="0" w:lastRow="0" w:firstColumn="1" w:lastColumn="0" w:oddVBand="0" w:evenVBand="0" w:oddHBand="0" w:evenHBand="0" w:firstRowFirstColumn="0" w:firstRowLastColumn="0" w:lastRowFirstColumn="0" w:lastRowLastColumn="0"/>
            <w:tcW w:w="1533" w:type="dxa"/>
          </w:tcPr>
          <w:p w14:paraId="76E4FBE4" w14:textId="77777777" w:rsidR="009965E7" w:rsidRDefault="009965E7" w:rsidP="00536FBD">
            <w:pPr>
              <w:pStyle w:val="Standard"/>
              <w:spacing w:before="57" w:after="113" w:line="240" w:lineRule="auto"/>
              <w:jc w:val="center"/>
            </w:pPr>
            <w:r w:rsidRPr="006E5933">
              <w:rPr>
                <w:b w:val="0"/>
                <w:bCs w:val="0"/>
              </w:rPr>
              <w:t>2024-10</w:t>
            </w:r>
          </w:p>
        </w:tc>
        <w:tc>
          <w:tcPr>
            <w:tcW w:w="1297" w:type="dxa"/>
          </w:tcPr>
          <w:p w14:paraId="49A054EF" w14:textId="77777777" w:rsidR="009965E7"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17.6%</w:t>
            </w:r>
          </w:p>
        </w:tc>
        <w:tc>
          <w:tcPr>
            <w:tcW w:w="1418" w:type="dxa"/>
          </w:tcPr>
          <w:p w14:paraId="26E73F73" w14:textId="77777777" w:rsidR="009965E7"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23.5%</w:t>
            </w:r>
          </w:p>
        </w:tc>
        <w:tc>
          <w:tcPr>
            <w:tcW w:w="1276" w:type="dxa"/>
          </w:tcPr>
          <w:p w14:paraId="1079E477" w14:textId="77777777" w:rsidR="009965E7"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29.5%</w:t>
            </w:r>
          </w:p>
        </w:tc>
        <w:tc>
          <w:tcPr>
            <w:tcW w:w="1559" w:type="dxa"/>
          </w:tcPr>
          <w:p w14:paraId="2F3E59DC" w14:textId="77777777" w:rsidR="009965E7" w:rsidRPr="006E5933"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$1,554,000</w:t>
            </w:r>
          </w:p>
        </w:tc>
        <w:tc>
          <w:tcPr>
            <w:tcW w:w="1660" w:type="dxa"/>
          </w:tcPr>
          <w:p w14:paraId="060A2258" w14:textId="77777777" w:rsidR="009965E7" w:rsidRPr="006E5933"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$1,633,000</w:t>
            </w:r>
          </w:p>
        </w:tc>
        <w:tc>
          <w:tcPr>
            <w:tcW w:w="1713" w:type="dxa"/>
          </w:tcPr>
          <w:p w14:paraId="4DD44024" w14:textId="77777777" w:rsidR="009965E7" w:rsidRPr="006E5933"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$1,711,000</w:t>
            </w:r>
          </w:p>
        </w:tc>
      </w:tr>
      <w:tr w:rsidR="009965E7" w14:paraId="598AC674" w14:textId="77777777" w:rsidTr="00536F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3" w:type="dxa"/>
          </w:tcPr>
          <w:p w14:paraId="36CAD972" w14:textId="77777777" w:rsidR="009965E7" w:rsidRDefault="009965E7" w:rsidP="00536FBD">
            <w:pPr>
              <w:pStyle w:val="Standard"/>
              <w:spacing w:before="57" w:after="113" w:line="240" w:lineRule="auto"/>
              <w:jc w:val="center"/>
            </w:pPr>
            <w:r w:rsidRPr="006E5933">
              <w:rPr>
                <w:b w:val="0"/>
                <w:bCs w:val="0"/>
              </w:rPr>
              <w:t>2025-10</w:t>
            </w:r>
          </w:p>
        </w:tc>
        <w:tc>
          <w:tcPr>
            <w:tcW w:w="1297" w:type="dxa"/>
          </w:tcPr>
          <w:p w14:paraId="1F04C621"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24.2%</w:t>
            </w:r>
          </w:p>
        </w:tc>
        <w:tc>
          <w:tcPr>
            <w:tcW w:w="1418" w:type="dxa"/>
          </w:tcPr>
          <w:p w14:paraId="1531A00E"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32.1%</w:t>
            </w:r>
          </w:p>
        </w:tc>
        <w:tc>
          <w:tcPr>
            <w:tcW w:w="1276" w:type="dxa"/>
          </w:tcPr>
          <w:p w14:paraId="2BD5F82D" w14:textId="77777777" w:rsidR="009965E7"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40.0%</w:t>
            </w:r>
          </w:p>
        </w:tc>
        <w:tc>
          <w:tcPr>
            <w:tcW w:w="1559" w:type="dxa"/>
          </w:tcPr>
          <w:p w14:paraId="4A9EADF0" w14:textId="77777777" w:rsidR="009965E7" w:rsidRPr="006E5933"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$1,641,000</w:t>
            </w:r>
          </w:p>
        </w:tc>
        <w:tc>
          <w:tcPr>
            <w:tcW w:w="1660" w:type="dxa"/>
          </w:tcPr>
          <w:p w14:paraId="4483B6FD" w14:textId="77777777" w:rsidR="009965E7" w:rsidRPr="006E5933"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$1,746,000</w:t>
            </w:r>
          </w:p>
        </w:tc>
        <w:tc>
          <w:tcPr>
            <w:tcW w:w="1713" w:type="dxa"/>
          </w:tcPr>
          <w:p w14:paraId="0C0FE9D8" w14:textId="77777777" w:rsidR="009965E7" w:rsidRPr="006E5933" w:rsidRDefault="009965E7" w:rsidP="00536FBD">
            <w:pPr>
              <w:pStyle w:val="Standard"/>
              <w:spacing w:before="57" w:after="113" w:line="240" w:lineRule="auto"/>
              <w:jc w:val="center"/>
              <w:cnfStyle w:val="000000100000" w:firstRow="0" w:lastRow="0" w:firstColumn="0" w:lastColumn="0" w:oddVBand="0" w:evenVBand="0" w:oddHBand="1" w:evenHBand="0" w:firstRowFirstColumn="0" w:firstRowLastColumn="0" w:lastRowFirstColumn="0" w:lastRowLastColumn="0"/>
            </w:pPr>
            <w:r w:rsidRPr="006E5933">
              <w:t>$1,851,000</w:t>
            </w:r>
          </w:p>
        </w:tc>
      </w:tr>
      <w:tr w:rsidR="009965E7" w14:paraId="47145DDE" w14:textId="77777777" w:rsidTr="00536FBD">
        <w:tc>
          <w:tcPr>
            <w:cnfStyle w:val="001000000000" w:firstRow="0" w:lastRow="0" w:firstColumn="1" w:lastColumn="0" w:oddVBand="0" w:evenVBand="0" w:oddHBand="0" w:evenHBand="0" w:firstRowFirstColumn="0" w:firstRowLastColumn="0" w:lastRowFirstColumn="0" w:lastRowLastColumn="0"/>
            <w:tcW w:w="1533" w:type="dxa"/>
          </w:tcPr>
          <w:p w14:paraId="3BEC38D1" w14:textId="77777777" w:rsidR="009965E7" w:rsidRDefault="009965E7" w:rsidP="00536FBD">
            <w:pPr>
              <w:pStyle w:val="Standard"/>
              <w:spacing w:before="57" w:after="113" w:line="240" w:lineRule="auto"/>
              <w:jc w:val="center"/>
            </w:pPr>
            <w:r w:rsidRPr="006E5933">
              <w:rPr>
                <w:b w:val="0"/>
                <w:bCs w:val="0"/>
              </w:rPr>
              <w:t>2026-10</w:t>
            </w:r>
          </w:p>
        </w:tc>
        <w:tc>
          <w:tcPr>
            <w:tcW w:w="1297" w:type="dxa"/>
          </w:tcPr>
          <w:p w14:paraId="704C7A3F" w14:textId="77777777" w:rsidR="009965E7"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30.6%</w:t>
            </w:r>
          </w:p>
        </w:tc>
        <w:tc>
          <w:tcPr>
            <w:tcW w:w="1418" w:type="dxa"/>
          </w:tcPr>
          <w:p w14:paraId="40FAB84D" w14:textId="77777777" w:rsidR="009965E7"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40.5%</w:t>
            </w:r>
          </w:p>
        </w:tc>
        <w:tc>
          <w:tcPr>
            <w:tcW w:w="1276" w:type="dxa"/>
          </w:tcPr>
          <w:p w14:paraId="6D7D2DB9" w14:textId="77777777" w:rsidR="009965E7"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50.5%</w:t>
            </w:r>
          </w:p>
        </w:tc>
        <w:tc>
          <w:tcPr>
            <w:tcW w:w="1559" w:type="dxa"/>
          </w:tcPr>
          <w:p w14:paraId="7650048B" w14:textId="77777777" w:rsidR="009965E7" w:rsidRPr="006E5933"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$1,727,000</w:t>
            </w:r>
          </w:p>
        </w:tc>
        <w:tc>
          <w:tcPr>
            <w:tcW w:w="1660" w:type="dxa"/>
          </w:tcPr>
          <w:p w14:paraId="76CB4FE3" w14:textId="77777777" w:rsidR="009965E7" w:rsidRPr="006E5933"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$1,858,000</w:t>
            </w:r>
          </w:p>
        </w:tc>
        <w:tc>
          <w:tcPr>
            <w:tcW w:w="1713" w:type="dxa"/>
          </w:tcPr>
          <w:p w14:paraId="70C4C05B" w14:textId="77777777" w:rsidR="009965E7" w:rsidRPr="006E5933" w:rsidRDefault="009965E7" w:rsidP="00536FBD">
            <w:pPr>
              <w:pStyle w:val="Standard"/>
              <w:spacing w:before="57" w:after="113" w:line="240" w:lineRule="auto"/>
              <w:jc w:val="center"/>
              <w:cnfStyle w:val="000000000000" w:firstRow="0" w:lastRow="0" w:firstColumn="0" w:lastColumn="0" w:oddVBand="0" w:evenVBand="0" w:oddHBand="0" w:evenHBand="0" w:firstRowFirstColumn="0" w:firstRowLastColumn="0" w:lastRowFirstColumn="0" w:lastRowLastColumn="0"/>
            </w:pPr>
            <w:r w:rsidRPr="006E5933">
              <w:t>$1,988,000</w:t>
            </w:r>
          </w:p>
        </w:tc>
      </w:tr>
    </w:tbl>
    <w:p w14:paraId="7361DC65" w14:textId="77777777" w:rsidR="009965E7" w:rsidRDefault="009965E7" w:rsidP="009965E7">
      <w:pPr>
        <w:pStyle w:val="Standard"/>
        <w:spacing w:before="57" w:after="113" w:line="240" w:lineRule="auto"/>
      </w:pPr>
      <w:r>
        <w:br w:type="page"/>
      </w:r>
    </w:p>
    <w:p w14:paraId="0C510B3A" w14:textId="77777777" w:rsidR="00D30341" w:rsidRDefault="00D30341" w:rsidP="00D30341">
      <w:pPr>
        <w:pStyle w:val="Heading2"/>
      </w:pPr>
      <w:bookmarkStart w:id="34" w:name="_Toc1637625179125"/>
      <w:bookmarkStart w:id="35" w:name="_Toc1637560182120"/>
      <w:r>
        <w:lastRenderedPageBreak/>
        <w:t>More resources</w:t>
      </w:r>
      <w:bookmarkEnd w:id="34"/>
      <w:bookmarkEnd w:id="35"/>
    </w:p>
    <w:p w14:paraId="1C285F5A" w14:textId="77777777" w:rsidR="00D30341" w:rsidRDefault="00EE4C6B" w:rsidP="00EE4C6B">
      <w:pPr>
        <w:pStyle w:val="Standard"/>
      </w:pPr>
      <w:r w:rsidRPr="00EE4C6B">
        <w:t>Services offered by</w:t>
      </w:r>
      <w:r>
        <w:t xml:space="preserve"> </w:t>
      </w:r>
      <w:hyperlink r:id="rId113">
        <w:r>
          <w:rPr>
            <w:rStyle w:val="Hyperlink"/>
          </w:rPr>
          <w:t xml:space="preserve">Select Residential Property:  </w:t>
        </w:r>
      </w:hyperlink>
    </w:p>
    <w:p w14:paraId="53DECAC6" w14:textId="77777777" w:rsidR="00D30341" w:rsidRDefault="00DA3B3A" w:rsidP="00D30341">
      <w:pPr>
        <w:pStyle w:val="ListParagraph"/>
        <w:numPr>
          <w:ilvl w:val="0"/>
          <w:numId w:val="5"/>
        </w:numPr>
      </w:pPr>
      <w:hyperlink r:id="rId114" w:history="1">
        <w:r w:rsidR="00D30341" w:rsidRPr="007F4279">
          <w:rPr>
            <w:rStyle w:val="Hyperlink"/>
          </w:rPr>
          <w:t xml:space="preserve">DSRdata.com.au </w:t>
        </w:r>
      </w:hyperlink>
      <w:r w:rsidR="00D30341">
        <w:t xml:space="preserve"> - Our advanced research app for the astute researcher whereby you can access and assess thousands of property markets across Australia </w:t>
      </w:r>
    </w:p>
    <w:p w14:paraId="2515E7EC" w14:textId="77777777" w:rsidR="00D30341" w:rsidRPr="00EE4C6B" w:rsidRDefault="00DA3B3A" w:rsidP="00D30341">
      <w:pPr>
        <w:pStyle w:val="ListParagraph"/>
        <w:numPr>
          <w:ilvl w:val="0"/>
          <w:numId w:val="5"/>
        </w:numPr>
      </w:pPr>
      <w:hyperlink r:id="rId115">
        <w:r w:rsidR="00D30341">
          <w:rPr>
            <w:rStyle w:val="Hyperlink"/>
          </w:rPr>
          <w:t>Sell or Hold</w:t>
        </w:r>
      </w:hyperlink>
      <w:r w:rsidR="00D30341" w:rsidRPr="00EE4C6B">
        <w:t xml:space="preserve"> – Helps determine if you should hold or sell a property asset, and all the important considerations in doing so</w:t>
      </w:r>
    </w:p>
    <w:p w14:paraId="546F01FB" w14:textId="77777777" w:rsidR="00D30341" w:rsidRPr="00EE4C6B" w:rsidRDefault="00DA3B3A" w:rsidP="00D30341">
      <w:pPr>
        <w:pStyle w:val="ListParagraph"/>
        <w:numPr>
          <w:ilvl w:val="0"/>
          <w:numId w:val="5"/>
        </w:numPr>
      </w:pPr>
      <w:hyperlink r:id="rId116">
        <w:r w:rsidR="00D30341">
          <w:rPr>
            <w:rStyle w:val="Hyperlink"/>
          </w:rPr>
          <w:t>Location Score</w:t>
        </w:r>
      </w:hyperlink>
      <w:r w:rsidR="00D30341" w:rsidRPr="00EE4C6B">
        <w:t xml:space="preserve"> – Our ‘keep it simple’ research app for the everyday person wishing to learn more about different opportunities multiple markets across Australia </w:t>
      </w:r>
    </w:p>
    <w:p w14:paraId="41ABCB55" w14:textId="77777777" w:rsidR="00D30341" w:rsidRPr="00EE4C6B" w:rsidRDefault="00DA3B3A" w:rsidP="00D30341">
      <w:pPr>
        <w:pStyle w:val="ListParagraph"/>
        <w:numPr>
          <w:ilvl w:val="0"/>
          <w:numId w:val="5"/>
        </w:numPr>
      </w:pPr>
      <w:hyperlink r:id="rId117">
        <w:r w:rsidR="00D30341">
          <w:rPr>
            <w:rStyle w:val="Hyperlink"/>
          </w:rPr>
          <w:t>Suburb Growth</w:t>
        </w:r>
      </w:hyperlink>
      <w:r w:rsidR="00D30341" w:rsidRPr="00EE4C6B">
        <w:t xml:space="preserve"> – Know the value of property within a suburb today, isn’t as important as knowing what the value of property is forecast to do over the next 1, 2 or 3 years. This research tool can help with this question.</w:t>
      </w:r>
    </w:p>
    <w:p w14:paraId="76A44ADA" w14:textId="77777777" w:rsidR="00D30341" w:rsidRPr="00EE4C6B" w:rsidRDefault="00D30341" w:rsidP="00D30341">
      <w:pPr>
        <w:pStyle w:val="ListParagraph"/>
        <w:numPr>
          <w:ilvl w:val="0"/>
          <w:numId w:val="5"/>
        </w:numPr>
      </w:pPr>
      <w:r>
        <w:rPr>
          <w:rStyle w:val="Hyperlink"/>
        </w:rPr>
        <w:t>Other SRP Reports</w:t>
      </w:r>
      <w:r w:rsidRPr="00EE4C6B">
        <w:t xml:space="preserve"> – We have a range of other research reports for your consideration. You can check them out </w:t>
      </w:r>
      <w:hyperlink r:id="rId118" w:history="1">
        <w:r w:rsidRPr="00EE4C6B">
          <w:t>here</w:t>
        </w:r>
      </w:hyperlink>
    </w:p>
    <w:p w14:paraId="17D87845" w14:textId="77777777" w:rsidR="00D30341" w:rsidRDefault="00D30341" w:rsidP="00D30341">
      <w:pPr>
        <w:pStyle w:val="ListParagraph"/>
        <w:numPr>
          <w:ilvl w:val="0"/>
          <w:numId w:val="5"/>
        </w:numPr>
      </w:pPr>
      <w:r>
        <w:t>If you need any more help or have any other requirements in the property research or data space, you can contact us at support</w:t>
      </w:r>
      <w:hyperlink r:id="rId119" w:history="1">
        <w:r>
          <w:t>@srponline.com.au</w:t>
        </w:r>
      </w:hyperlink>
    </w:p>
    <w:p w14:paraId="668AB845" w14:textId="77777777" w:rsidR="00D30341" w:rsidRDefault="00D30341" w:rsidP="00D30341"/>
    <w:p w14:paraId="72CC1AA9" w14:textId="77777777" w:rsidR="00D30341" w:rsidRDefault="00D30341" w:rsidP="00D30341">
      <w:pPr>
        <w:pStyle w:val="Heading2"/>
      </w:pPr>
      <w:bookmarkStart w:id="36" w:name="_Toc1637625179126"/>
      <w:bookmarkStart w:id="37" w:name="_Toc1637560182121"/>
      <w:r>
        <w:t>Report Disclaimer</w:t>
      </w:r>
      <w:bookmarkEnd w:id="36"/>
      <w:bookmarkEnd w:id="37"/>
    </w:p>
    <w:p w14:paraId="1B27BF4E" w14:textId="77777777" w:rsidR="00B05393" w:rsidRDefault="00D30341" w:rsidP="00D30341">
      <w:pPr>
        <w:pStyle w:val="paragraph"/>
        <w:spacing w:before="0" w:beforeAutospacing="0" w:after="0" w:afterAutospacing="0"/>
        <w:textAlignment w:val="baseline"/>
        <w:rPr>
          <w:rStyle w:val="normaltextrun"/>
          <w:rFonts w:ascii="Calibri" w:hAnsi="Calibri" w:cs="Calibri"/>
          <w:i/>
          <w:iCs/>
          <w:sz w:val="22"/>
          <w:szCs w:val="22"/>
        </w:rPr>
      </w:pPr>
      <w:r>
        <w:rPr>
          <w:rStyle w:val="normaltextrun"/>
          <w:rFonts w:ascii="Calibri" w:hAnsi="Calibri" w:cs="Calibri"/>
          <w:i/>
          <w:iCs/>
          <w:sz w:val="22"/>
          <w:szCs w:val="22"/>
        </w:rPr>
        <w:t>This</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report does not constitute</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property, financial or investment advice.  When it comes to selecting a suburb, a</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property</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within that suburb and</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assessing and negotiating</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on price,</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you need to consider many more factors and variables before making any</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such</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purchasing</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decision. We recommend you undertake further extensive due</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diligence before you act. As such you</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cannot</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rely</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on this report</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to make any such property buying or investment</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property</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purchase decision.</w:t>
      </w:r>
    </w:p>
    <w:p w14:paraId="5EE2DB31" w14:textId="77777777" w:rsidR="00D30341" w:rsidRDefault="00D30341" w:rsidP="00D30341">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i/>
          <w:iCs/>
          <w:sz w:val="22"/>
          <w:szCs w:val="22"/>
        </w:rPr>
        <w:t>We recommend</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you seek professional</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advice</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from</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a</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licensed</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and/or qualified professional</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in their respective fields of knowledge,</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before making any financial or investment</w:t>
      </w:r>
      <w:r w:rsidR="00B05393">
        <w:rPr>
          <w:rStyle w:val="normaltextrun"/>
          <w:rFonts w:ascii="Calibri" w:hAnsi="Calibri" w:cs="Calibri"/>
          <w:i/>
          <w:iCs/>
          <w:sz w:val="22"/>
          <w:szCs w:val="22"/>
        </w:rPr>
        <w:t xml:space="preserve"> </w:t>
      </w:r>
      <w:r>
        <w:rPr>
          <w:rStyle w:val="normaltextrun"/>
          <w:rFonts w:ascii="Calibri" w:hAnsi="Calibri" w:cs="Calibri"/>
          <w:i/>
          <w:iCs/>
          <w:sz w:val="22"/>
          <w:szCs w:val="22"/>
        </w:rPr>
        <w:t>decision.</w:t>
      </w:r>
    </w:p>
    <w:p w14:paraId="3FFFC80F" w14:textId="77777777" w:rsidR="00D30341" w:rsidRPr="00A96A52" w:rsidRDefault="00D30341" w:rsidP="00D30341">
      <w:pPr>
        <w:rPr>
          <w:i/>
          <w:iCs/>
        </w:rPr>
      </w:pPr>
      <w:r>
        <w:rPr>
          <w:i/>
          <w:iCs/>
        </w:rPr>
        <w:t>Select Residential Property</w:t>
      </w:r>
      <w:r w:rsidRPr="00A96A52">
        <w:rPr>
          <w:i/>
          <w:iCs/>
        </w:rPr>
        <w:t xml:space="preserve"> does not warrant or make any representations in relation to this report and is not responsible or liable for any loss or damage you or any third party may suffer or incur in connection with this report or for any acts, omissions, </w:t>
      </w:r>
      <w:proofErr w:type="gramStart"/>
      <w:r w:rsidRPr="00A96A52">
        <w:rPr>
          <w:i/>
          <w:iCs/>
        </w:rPr>
        <w:t>errors</w:t>
      </w:r>
      <w:proofErr w:type="gramEnd"/>
      <w:r w:rsidRPr="00A96A52">
        <w:rPr>
          <w:i/>
          <w:iCs/>
        </w:rPr>
        <w:t xml:space="preserve"> or defaults of any supplier or third party in connection with this report.</w:t>
      </w:r>
    </w:p>
    <w:sectPr w:rsidR="00D30341" w:rsidRPr="00A96A52">
      <w:headerReference w:type="default" r:id="rId120"/>
      <w:footerReference w:type="default" r:id="rId121"/>
      <w:pgSz w:w="11906" w:h="16838"/>
      <w:pgMar w:top="960" w:right="720" w:bottom="770" w:left="720" w:header="450" w:footer="713"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D009C" w14:textId="77777777" w:rsidR="00DA3B3A" w:rsidRDefault="00DA3B3A">
      <w:pPr>
        <w:spacing w:after="0" w:line="240" w:lineRule="auto"/>
      </w:pPr>
      <w:r>
        <w:separator/>
      </w:r>
    </w:p>
  </w:endnote>
  <w:endnote w:type="continuationSeparator" w:id="0">
    <w:p w14:paraId="101A5581" w14:textId="77777777" w:rsidR="00DA3B3A" w:rsidRDefault="00DA3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F">
    <w:altName w:val="Cambri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834BE" w14:textId="77777777" w:rsidR="005948DB" w:rsidRDefault="00DA3B3A">
    <w:pPr>
      <w:pStyle w:val="Footer"/>
      <w:pBdr>
        <w:top w:val="single" w:sz="24" w:space="5" w:color="A5A5A5"/>
      </w:pBdr>
      <w:rPr>
        <w:sz w:val="18"/>
        <w:szCs w:val="18"/>
      </w:rPr>
    </w:pPr>
    <w:hyperlink r:id="rId1">
      <w:r w:rsidR="001F3C42">
        <w:rPr>
          <w:rStyle w:val="Hyperlink"/>
          <w:i/>
          <w:iCs/>
          <w:sz w:val="18"/>
          <w:szCs w:val="18"/>
        </w:rPr>
        <w:t>www.DSRdata.com.au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08EC8" w14:textId="77777777" w:rsidR="00DA3B3A" w:rsidRDefault="00DA3B3A">
      <w:pPr>
        <w:spacing w:after="0" w:line="240" w:lineRule="auto"/>
      </w:pPr>
      <w:r>
        <w:separator/>
      </w:r>
    </w:p>
  </w:footnote>
  <w:footnote w:type="continuationSeparator" w:id="0">
    <w:p w14:paraId="21E18D2D" w14:textId="77777777" w:rsidR="00DA3B3A" w:rsidRDefault="00DA3B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E8A1A" w14:textId="77777777" w:rsidR="005948DB" w:rsidRDefault="00976935" w:rsidP="00976935">
    <w:pPr>
      <w:pStyle w:val="Header"/>
      <w:pBdr>
        <w:bottom w:val="single" w:sz="4" w:space="0" w:color="000000"/>
      </w:pBdr>
      <w:tabs>
        <w:tab w:val="clear" w:pos="4513"/>
        <w:tab w:val="clear" w:pos="9026"/>
        <w:tab w:val="left" w:pos="284"/>
        <w:tab w:val="right" w:pos="10380"/>
      </w:tabs>
      <w:rPr>
        <w:sz w:val="18"/>
        <w:szCs w:val="18"/>
        <w:lang w:val="en-US"/>
      </w:rPr>
    </w:pPr>
    <w:r>
      <w:rPr>
        <w:color w:val="FFFFFF"/>
        <w:sz w:val="24"/>
        <w:szCs w:val="24"/>
        <w:highlight w:val="darkBlue"/>
        <w:lang w:val="en-US"/>
      </w:rPr>
      <w:tab/>
    </w:r>
    <w:r w:rsidR="001F3C42">
      <w:rPr>
        <w:color w:val="FFFFFF"/>
        <w:sz w:val="24"/>
        <w:szCs w:val="24"/>
        <w:highlight w:val="darkBlue"/>
        <w:lang w:val="en-US"/>
      </w:rPr>
      <w:fldChar w:fldCharType="begin"/>
    </w:r>
    <w:r w:rsidR="001F3C42">
      <w:rPr>
        <w:color w:val="FFFFFF"/>
        <w:sz w:val="24"/>
        <w:szCs w:val="24"/>
        <w:highlight w:val="darkBlue"/>
        <w:lang w:val="en-US"/>
      </w:rPr>
      <w:instrText>PAGE</w:instrText>
    </w:r>
    <w:r w:rsidR="001F3C42">
      <w:rPr>
        <w:color w:val="FFFFFF"/>
        <w:sz w:val="24"/>
        <w:szCs w:val="24"/>
        <w:highlight w:val="darkBlue"/>
        <w:lang w:val="en-US"/>
      </w:rPr>
      <w:fldChar w:fldCharType="separate"/>
    </w:r>
    <w:r w:rsidR="001F3C42">
      <w:rPr>
        <w:color w:val="FFFFFF"/>
        <w:sz w:val="24"/>
        <w:szCs w:val="24"/>
        <w:highlight w:val="darkBlue"/>
        <w:lang w:val="en-US"/>
      </w:rPr>
      <w:t>8</w:t>
    </w:r>
    <w:r w:rsidR="001F3C42">
      <w:rPr>
        <w:color w:val="FFFFFF"/>
        <w:sz w:val="24"/>
        <w:szCs w:val="24"/>
        <w:highlight w:val="darkBlue"/>
        <w:lang w:val="en-US"/>
      </w:rPr>
      <w:fldChar w:fldCharType="end"/>
    </w:r>
    <w:r w:rsidR="001F3C42">
      <w:rPr>
        <w:color w:val="FFFFFF"/>
        <w:sz w:val="24"/>
        <w:szCs w:val="24"/>
        <w:highlight w:val="darkBlue"/>
        <w:lang w:val="en-US"/>
      </w:rPr>
      <w:t xml:space="preserve">  </w:t>
    </w:r>
    <w:r w:rsidR="001F3C42">
      <w:rPr>
        <w:sz w:val="18"/>
        <w:szCs w:val="18"/>
        <w:lang w:val="en-US"/>
      </w:rPr>
      <w:t xml:space="preserve"> </w:t>
    </w:r>
    <w:r w:rsidR="001F3C42">
      <w:rPr>
        <w:sz w:val="18"/>
        <w:szCs w:val="18"/>
        <w:lang w:val="en-US"/>
      </w:rPr>
      <w:tab/>
      <w:t>NORTH MELBOURNE VIC 3051 Houses</w:t>
    </w:r>
  </w:p>
  <w:p w14:paraId="3654EA80" w14:textId="77777777" w:rsidR="005948DB" w:rsidRDefault="005948DB">
    <w:pPr>
      <w:pStyle w:val="Header"/>
      <w:pBdr>
        <w:bottom w:val="single" w:sz="4" w:space="0" w:color="000000"/>
      </w:pBdr>
      <w:tabs>
        <w:tab w:val="clear" w:pos="4513"/>
        <w:tab w:val="clear" w:pos="9026"/>
        <w:tab w:val="right" w:pos="10380"/>
      </w:tabs>
      <w:rPr>
        <w:sz w:val="12"/>
        <w:szCs w:val="1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15DEF"/>
    <w:multiLevelType w:val="multilevel"/>
    <w:tmpl w:val="CC0448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F0239D3"/>
    <w:multiLevelType w:val="multilevel"/>
    <w:tmpl w:val="270A1D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A3A264B"/>
    <w:multiLevelType w:val="multilevel"/>
    <w:tmpl w:val="8D30F3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F7B3AE6"/>
    <w:multiLevelType w:val="multilevel"/>
    <w:tmpl w:val="85DA9A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42E76A2A"/>
    <w:multiLevelType w:val="multilevel"/>
    <w:tmpl w:val="17580A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681E22A2"/>
    <w:multiLevelType w:val="multilevel"/>
    <w:tmpl w:val="BE36A22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70E71207"/>
    <w:multiLevelType w:val="multilevel"/>
    <w:tmpl w:val="93FCD0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1"/>
  </w:num>
  <w:num w:numId="3">
    <w:abstractNumId w:val="6"/>
  </w:num>
  <w:num w:numId="4">
    <w:abstractNumId w:val="2"/>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8DB"/>
    <w:rsid w:val="000A0FEC"/>
    <w:rsid w:val="0011027B"/>
    <w:rsid w:val="00160B08"/>
    <w:rsid w:val="00184802"/>
    <w:rsid w:val="001A4EC6"/>
    <w:rsid w:val="001F3C42"/>
    <w:rsid w:val="002228F2"/>
    <w:rsid w:val="00267E0D"/>
    <w:rsid w:val="002974E3"/>
    <w:rsid w:val="002B31B8"/>
    <w:rsid w:val="002B5E64"/>
    <w:rsid w:val="0035672D"/>
    <w:rsid w:val="00366D90"/>
    <w:rsid w:val="00456187"/>
    <w:rsid w:val="0046197E"/>
    <w:rsid w:val="00467C1C"/>
    <w:rsid w:val="004C5F58"/>
    <w:rsid w:val="004F1567"/>
    <w:rsid w:val="00535164"/>
    <w:rsid w:val="005948DB"/>
    <w:rsid w:val="006452F6"/>
    <w:rsid w:val="0068180E"/>
    <w:rsid w:val="007B56A8"/>
    <w:rsid w:val="007E34AF"/>
    <w:rsid w:val="00840AAE"/>
    <w:rsid w:val="00873EFD"/>
    <w:rsid w:val="008817B4"/>
    <w:rsid w:val="00902157"/>
    <w:rsid w:val="00915119"/>
    <w:rsid w:val="00976935"/>
    <w:rsid w:val="009965E7"/>
    <w:rsid w:val="009D712F"/>
    <w:rsid w:val="00AA5975"/>
    <w:rsid w:val="00B05393"/>
    <w:rsid w:val="00C54D12"/>
    <w:rsid w:val="00C6491B"/>
    <w:rsid w:val="00C7003D"/>
    <w:rsid w:val="00D30341"/>
    <w:rsid w:val="00D527FD"/>
    <w:rsid w:val="00D6383E"/>
    <w:rsid w:val="00D73BEF"/>
    <w:rsid w:val="00DA3B3A"/>
    <w:rsid w:val="00E07E97"/>
    <w:rsid w:val="00E372AB"/>
    <w:rsid w:val="00E764D5"/>
    <w:rsid w:val="00E9228D"/>
    <w:rsid w:val="00EE3955"/>
    <w:rsid w:val="00EE4C6B"/>
    <w:rsid w:val="00FD42E7"/>
  </w:rsids>
  <m:mathPr>
    <m:mathFont m:val="Cambria Math"/>
    <m:brkBin m:val="before"/>
    <m:brkBinSub m:val="--"/>
    <m:smallFrac m:val="0"/>
    <m:dispDef/>
    <m:lMargin m:val="0"/>
    <m:rMargin m:val="0"/>
    <m:defJc m:val="centerGroup"/>
    <m:wrapIndent m:val="1440"/>
    <m:intLim m:val="subSup"/>
    <m:naryLim m:val="undOvr"/>
  </m:mathPr>
  <w:themeFontLang w:val="en-A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86656"/>
  <w14:defaultImageDpi w14:val="96"/>
  <w15:docId w15:val="{3E9AF361-3F75-4784-9997-C18081CA3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AU"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F6F"/>
    <w:pPr>
      <w:spacing w:after="200" w:line="276" w:lineRule="auto"/>
    </w:pPr>
    <w:rPr>
      <w:sz w:val="22"/>
    </w:rPr>
  </w:style>
  <w:style w:type="paragraph" w:styleId="Heading1">
    <w:name w:val="heading 1"/>
    <w:basedOn w:val="Normal"/>
    <w:next w:val="Normal"/>
    <w:link w:val="Heading1Char"/>
    <w:uiPriority w:val="9"/>
    <w:qFormat/>
    <w:rsid w:val="00EE39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1F6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F81F6F"/>
    <w:rPr>
      <w:rFonts w:asciiTheme="majorHAnsi" w:eastAsiaTheme="majorEastAsia" w:hAnsiTheme="majorHAnsi" w:cstheme="majorBidi"/>
      <w:b/>
      <w:bCs/>
      <w:color w:val="4472C4" w:themeColor="accent1"/>
      <w:sz w:val="26"/>
      <w:szCs w:val="26"/>
    </w:rPr>
  </w:style>
  <w:style w:type="character" w:styleId="Hyperlink">
    <w:name w:val="Hyperlink"/>
    <w:basedOn w:val="DefaultParagraphFont"/>
    <w:uiPriority w:val="99"/>
    <w:unhideWhenUsed/>
    <w:rsid w:val="00F81F6F"/>
    <w:rPr>
      <w:color w:val="0563C1" w:themeColor="hyperlink"/>
      <w:u w:val="single"/>
    </w:rPr>
  </w:style>
  <w:style w:type="character" w:customStyle="1" w:styleId="HeaderChar">
    <w:name w:val="Header Char"/>
    <w:basedOn w:val="DefaultParagraphFont"/>
    <w:link w:val="Header"/>
    <w:uiPriority w:val="99"/>
    <w:qFormat/>
    <w:rsid w:val="00F81F6F"/>
  </w:style>
  <w:style w:type="character" w:customStyle="1" w:styleId="FooterChar">
    <w:name w:val="Footer Char"/>
    <w:basedOn w:val="DefaultParagraphFont"/>
    <w:link w:val="Footer"/>
    <w:uiPriority w:val="99"/>
    <w:qFormat/>
    <w:rsid w:val="00F81F6F"/>
  </w:style>
  <w:style w:type="character" w:customStyle="1" w:styleId="TitleChar">
    <w:name w:val="Title Char"/>
    <w:basedOn w:val="DefaultParagraphFont"/>
    <w:link w:val="Title"/>
    <w:uiPriority w:val="10"/>
    <w:qFormat/>
    <w:rsid w:val="00F81F6F"/>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F81F6F"/>
    <w:rPr>
      <w:rFonts w:eastAsiaTheme="minorEastAsia"/>
      <w:color w:val="5A5A5A" w:themeColor="text1" w:themeTint="A5"/>
      <w:spacing w:val="15"/>
    </w:rPr>
  </w:style>
  <w:style w:type="character" w:styleId="UnresolvedMention">
    <w:name w:val="Unresolved Mention"/>
    <w:basedOn w:val="DefaultParagraphFont"/>
    <w:uiPriority w:val="99"/>
    <w:semiHidden/>
    <w:unhideWhenUsed/>
    <w:qFormat/>
    <w:rsid w:val="004141E9"/>
    <w:rPr>
      <w:color w:val="605E5C"/>
      <w:shd w:val="clear" w:color="auto" w:fill="E1DFDD"/>
    </w:rPr>
  </w:style>
  <w:style w:type="character" w:styleId="FollowedHyperlink">
    <w:name w:val="FollowedHyperlink"/>
    <w:basedOn w:val="DefaultParagraphFont"/>
    <w:uiPriority w:val="99"/>
    <w:semiHidden/>
    <w:unhideWhenUsed/>
    <w:rsid w:val="00D925B5"/>
    <w:rPr>
      <w:color w:val="954F72" w:themeColor="followedHyperlink"/>
      <w:u w:val="single"/>
    </w:rPr>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F81F6F"/>
    <w:pPr>
      <w:ind w:left="720"/>
      <w:contextualSpacing/>
    </w:pPr>
  </w:style>
  <w:style w:type="paragraph" w:customStyle="1" w:styleId="HeaderandFooter">
    <w:name w:val="Header and Footer"/>
    <w:basedOn w:val="Normal"/>
    <w:qFormat/>
  </w:style>
  <w:style w:type="paragraph" w:styleId="Header">
    <w:name w:val="header"/>
    <w:basedOn w:val="Normal"/>
    <w:link w:val="HeaderChar"/>
    <w:uiPriority w:val="99"/>
    <w:unhideWhenUsed/>
    <w:rsid w:val="00F81F6F"/>
    <w:pPr>
      <w:tabs>
        <w:tab w:val="center" w:pos="4513"/>
        <w:tab w:val="right" w:pos="9026"/>
      </w:tabs>
      <w:spacing w:after="0" w:line="240" w:lineRule="auto"/>
    </w:pPr>
  </w:style>
  <w:style w:type="paragraph" w:styleId="Footer">
    <w:name w:val="footer"/>
    <w:basedOn w:val="Normal"/>
    <w:link w:val="FooterChar"/>
    <w:uiPriority w:val="99"/>
    <w:unhideWhenUsed/>
    <w:rsid w:val="00F81F6F"/>
    <w:pPr>
      <w:tabs>
        <w:tab w:val="center" w:pos="4513"/>
        <w:tab w:val="right" w:pos="9026"/>
      </w:tabs>
      <w:spacing w:after="0" w:line="240" w:lineRule="auto"/>
    </w:pPr>
  </w:style>
  <w:style w:type="paragraph" w:styleId="Title">
    <w:name w:val="Title"/>
    <w:basedOn w:val="Normal"/>
    <w:next w:val="Normal"/>
    <w:link w:val="TitleChar"/>
    <w:uiPriority w:val="10"/>
    <w:qFormat/>
    <w:rsid w:val="00F81F6F"/>
    <w:pPr>
      <w:spacing w:after="0" w:line="240" w:lineRule="auto"/>
      <w:contextualSpacing/>
    </w:pPr>
    <w:rPr>
      <w:rFonts w:asciiTheme="majorHAnsi" w:eastAsiaTheme="majorEastAsia" w:hAnsiTheme="majorHAnsi" w:cstheme="majorBidi"/>
      <w:spacing w:val="-10"/>
      <w:kern w:val="2"/>
      <w:sz w:val="56"/>
      <w:szCs w:val="56"/>
    </w:rPr>
  </w:style>
  <w:style w:type="paragraph" w:styleId="Subtitle">
    <w:name w:val="Subtitle"/>
    <w:basedOn w:val="Normal"/>
    <w:next w:val="Normal"/>
    <w:link w:val="SubtitleChar"/>
    <w:uiPriority w:val="11"/>
    <w:qFormat/>
    <w:rsid w:val="00F81F6F"/>
    <w:pPr>
      <w:spacing w:after="160"/>
    </w:pPr>
    <w:rPr>
      <w:rFonts w:eastAsiaTheme="minorEastAsia"/>
      <w:color w:val="5A5A5A" w:themeColor="text1" w:themeTint="A5"/>
      <w:spacing w:val="15"/>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Standard">
    <w:name w:val="Standard"/>
    <w:qFormat/>
    <w:rsid w:val="00EF6570"/>
    <w:pPr>
      <w:spacing w:after="200" w:line="276" w:lineRule="auto"/>
      <w:textAlignment w:val="baseline"/>
    </w:pPr>
    <w:rPr>
      <w:rFonts w:cs="F"/>
      <w:sz w:val="22"/>
    </w:rPr>
  </w:style>
  <w:style w:type="table" w:styleId="TableGrid">
    <w:name w:val="Table Grid"/>
    <w:basedOn w:val="TableNormal"/>
    <w:uiPriority w:val="59"/>
    <w:rsid w:val="00F81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B49F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1">
    <w:name w:val="Plain Table 1"/>
    <w:basedOn w:val="TableNormal"/>
    <w:uiPriority w:val="41"/>
    <w:rsid w:val="007B49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7B49F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
    <w:name w:val="Grid Table 1 Light"/>
    <w:basedOn w:val="TableNormal"/>
    <w:uiPriority w:val="46"/>
    <w:rsid w:val="0041555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4155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415555"/>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PlainTable3">
    <w:name w:val="Plain Table 3"/>
    <w:basedOn w:val="TableNormal"/>
    <w:uiPriority w:val="43"/>
    <w:rsid w:val="004B5E24"/>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4B5E2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1">
    <w:name w:val="Grid Table 3 Accent 1"/>
    <w:basedOn w:val="TableNormal"/>
    <w:uiPriority w:val="48"/>
    <w:rsid w:val="004B5E2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4472C4" w:themeColor="accent1"/>
        </w:tcBorders>
      </w:tcPr>
    </w:tblStylePr>
    <w:tblStylePr w:type="nwCell">
      <w:tblPr/>
      <w:tcPr>
        <w:tcBorders>
          <w:bottom w:val="single" w:sz="4" w:space="0" w:color="4472C4" w:themeColor="accent1"/>
        </w:tcBorders>
      </w:tcPr>
    </w:tblStylePr>
    <w:tblStylePr w:type="seCell">
      <w:tblPr/>
      <w:tcPr>
        <w:tcBorders>
          <w:top w:val="single" w:sz="4" w:space="0" w:color="4472C4" w:themeColor="accent1"/>
        </w:tcBorders>
      </w:tcPr>
    </w:tblStylePr>
    <w:tblStylePr w:type="swCell">
      <w:tblPr/>
      <w:tcPr>
        <w:tcBorders>
          <w:top w:val="single" w:sz="4" w:space="0" w:color="4472C4" w:themeColor="accent1"/>
        </w:tcBorders>
      </w:tcPr>
    </w:tblStylePr>
  </w:style>
  <w:style w:type="table" w:styleId="GridTable3">
    <w:name w:val="Grid Table 3"/>
    <w:basedOn w:val="TableNormal"/>
    <w:uiPriority w:val="48"/>
    <w:rsid w:val="004B5E2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styleId="GridTable5Dark-Accent1">
    <w:name w:val="Grid Table 5 Dark Accent 1"/>
    <w:basedOn w:val="TableNormal"/>
    <w:uiPriority w:val="50"/>
    <w:rsid w:val="00CB6FD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PlainTable2">
    <w:name w:val="Plain Table 2"/>
    <w:basedOn w:val="TableNormal"/>
    <w:uiPriority w:val="42"/>
    <w:rsid w:val="0026498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character" w:customStyle="1" w:styleId="Heading1Char">
    <w:name w:val="Heading 1 Char"/>
    <w:basedOn w:val="DefaultParagraphFont"/>
    <w:link w:val="Heading1"/>
    <w:uiPriority w:val="9"/>
    <w:rsid w:val="00EE3955"/>
    <w:rPr>
      <w:rFonts w:asciiTheme="majorHAnsi" w:eastAsiaTheme="majorEastAsia" w:hAnsiTheme="majorHAnsi" w:cstheme="majorBidi"/>
      <w:color w:val="2F5496" w:themeColor="accent1" w:themeShade="BF"/>
      <w:sz w:val="32"/>
      <w:szCs w:val="32"/>
    </w:rPr>
  </w:style>
  <w:style w:type="character" w:styleId="BookTitle">
    <w:name w:val="Book Title"/>
    <w:basedOn w:val="DefaultParagraphFont"/>
    <w:uiPriority w:val="33"/>
    <w:qFormat/>
    <w:rsid w:val="00C6491B"/>
    <w:rPr>
      <w:b/>
      <w:bCs/>
      <w:i/>
      <w:iCs/>
      <w:spacing w:val="5"/>
    </w:rPr>
  </w:style>
  <w:style w:type="paragraph" w:customStyle="1" w:styleId="paragraph">
    <w:name w:val="paragraph"/>
    <w:basedOn w:val="Normal"/>
    <w:rsid w:val="00D30341"/>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D30341"/>
  </w:style>
  <w:style w:type="character" w:customStyle="1" w:styleId="scxw55222307">
    <w:name w:val="scxw55222307"/>
    <w:basedOn w:val="DefaultParagraphFont"/>
    <w:rsid w:val="00D30341"/>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Heading">
    <w:name w:val="TOC Heading"/>
    <w:basedOn w:val="Heading1"/>
    <w:next w:val="Normal"/>
    <w:uiPriority w:val="39"/>
    <w:unhideWhenUsed/>
    <w:qFormat/>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srdata.com.au/stats/dsr" TargetMode="External"/><Relationship Id="rId117" Type="http://schemas.openxmlformats.org/officeDocument/2006/relationships/hyperlink" Target="https://suburbgrowth.com.au/" TargetMode="External"/><Relationship Id="rId21" Type="http://schemas.openxmlformats.org/officeDocument/2006/relationships/chart" Target="charts/chart14.xml"/><Relationship Id="rId42" Type="http://schemas.openxmlformats.org/officeDocument/2006/relationships/hyperlink" Target="https://dsrdata.com.au/stats/dom" TargetMode="External"/><Relationship Id="rId47" Type="http://schemas.openxmlformats.org/officeDocument/2006/relationships/hyperlink" Target="https://dsrdata.com.au/products/about_context_rulers" TargetMode="External"/><Relationship Id="rId63" Type="http://schemas.openxmlformats.org/officeDocument/2006/relationships/hyperlink" Target="https://dsrdata.com.au/products/about_context_rulers" TargetMode="External"/><Relationship Id="rId68" Type="http://schemas.openxmlformats.org/officeDocument/2006/relationships/image" Target="media/image13.png"/><Relationship Id="rId84" Type="http://schemas.openxmlformats.org/officeDocument/2006/relationships/image" Target="media/image17.png"/><Relationship Id="rId89" Type="http://schemas.openxmlformats.org/officeDocument/2006/relationships/chart" Target="charts/chart31.xml"/><Relationship Id="rId112" Type="http://schemas.openxmlformats.org/officeDocument/2006/relationships/chart" Target="charts/chart39.xml"/><Relationship Id="rId16" Type="http://schemas.openxmlformats.org/officeDocument/2006/relationships/chart" Target="charts/chart9.xml"/><Relationship Id="rId107" Type="http://schemas.openxmlformats.org/officeDocument/2006/relationships/hyperlink" Target="https://dsrdata.com.au/products/about_context_rulers" TargetMode="External"/><Relationship Id="rId11" Type="http://schemas.openxmlformats.org/officeDocument/2006/relationships/chart" Target="charts/chart4.xml"/><Relationship Id="rId32" Type="http://schemas.openxmlformats.org/officeDocument/2006/relationships/image" Target="media/image4.png"/><Relationship Id="rId37" Type="http://schemas.openxmlformats.org/officeDocument/2006/relationships/chart" Target="charts/chart18.xml"/><Relationship Id="rId53" Type="http://schemas.openxmlformats.org/officeDocument/2006/relationships/chart" Target="charts/chart22.xml"/><Relationship Id="rId58" Type="http://schemas.openxmlformats.org/officeDocument/2006/relationships/hyperlink" Target="https://dsrdata.com.au/stats/vacancy" TargetMode="External"/><Relationship Id="rId74" Type="http://schemas.openxmlformats.org/officeDocument/2006/relationships/hyperlink" Target="https://dsrdata.com.au/stats/mct" TargetMode="External"/><Relationship Id="rId79" Type="http://schemas.openxmlformats.org/officeDocument/2006/relationships/hyperlink" Target="https://dsrdata.com.au/products/about_context_rulers" TargetMode="External"/><Relationship Id="rId102" Type="http://schemas.openxmlformats.org/officeDocument/2006/relationships/hyperlink" Target="https://dsrdata.com.au/stats/sba_perc" TargetMode="External"/><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dsrdata.com.au/stats/ltg" TargetMode="External"/><Relationship Id="rId95" Type="http://schemas.openxmlformats.org/officeDocument/2006/relationships/hyperlink" Target="https://dsrdata.com.au/products/about_context_rulers" TargetMode="External"/><Relationship Id="rId22" Type="http://schemas.openxmlformats.org/officeDocument/2006/relationships/hyperlink" Target="https://dsrdata.com.au/stats/dsr_plus" TargetMode="External"/><Relationship Id="rId27" Type="http://schemas.openxmlformats.org/officeDocument/2006/relationships/hyperlink" Target="https://dsrdata.com.au/products/about_context_rulers" TargetMode="External"/><Relationship Id="rId43" Type="http://schemas.openxmlformats.org/officeDocument/2006/relationships/hyperlink" Target="https://dsrdata.com.au/products/about_context_rulers" TargetMode="External"/><Relationship Id="rId48" Type="http://schemas.openxmlformats.org/officeDocument/2006/relationships/image" Target="media/image8.png"/><Relationship Id="rId64" Type="http://schemas.openxmlformats.org/officeDocument/2006/relationships/image" Target="media/image12.png"/><Relationship Id="rId69" Type="http://schemas.openxmlformats.org/officeDocument/2006/relationships/chart" Target="charts/chart26.xml"/><Relationship Id="rId113" Type="http://schemas.openxmlformats.org/officeDocument/2006/relationships/hyperlink" Target="https://selectresidentialproperty.com.au/" TargetMode="External"/><Relationship Id="rId118" Type="http://schemas.openxmlformats.org/officeDocument/2006/relationships/hyperlink" Target="http://www.selectresidentialproperty.com.au" TargetMode="External"/><Relationship Id="rId80" Type="http://schemas.openxmlformats.org/officeDocument/2006/relationships/image" Target="media/image16.png"/><Relationship Id="rId85" Type="http://schemas.openxmlformats.org/officeDocument/2006/relationships/chart" Target="charts/chart30.xml"/><Relationship Id="rId12" Type="http://schemas.openxmlformats.org/officeDocument/2006/relationships/chart" Target="charts/chart5.xml"/><Relationship Id="rId17"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hyperlink" Target="https://dsrdata.com.au/stats/tv" TargetMode="External"/><Relationship Id="rId59" Type="http://schemas.openxmlformats.org/officeDocument/2006/relationships/hyperlink" Target="https://dsrdata.com.au/products/about_context_rulers" TargetMode="External"/><Relationship Id="rId103" Type="http://schemas.openxmlformats.org/officeDocument/2006/relationships/hyperlink" Target="https://dsrdata.com.au/products/about_context_rulers" TargetMode="External"/><Relationship Id="rId108" Type="http://schemas.openxmlformats.org/officeDocument/2006/relationships/image" Target="media/image23.png"/><Relationship Id="rId124" Type="http://schemas.openxmlformats.org/officeDocument/2006/relationships/customXml" Target="../customXml/item1.xml"/><Relationship Id="rId54" Type="http://schemas.openxmlformats.org/officeDocument/2006/relationships/hyperlink" Target="https://dsrdata.com.au/stats/renters" TargetMode="External"/><Relationship Id="rId70" Type="http://schemas.openxmlformats.org/officeDocument/2006/relationships/hyperlink" Target="https://dsrdata.com.au/stats/osi" TargetMode="External"/><Relationship Id="rId75" Type="http://schemas.openxmlformats.org/officeDocument/2006/relationships/hyperlink" Target="https://dsrdata.com.au/products/about_context_rulers" TargetMode="External"/><Relationship Id="rId91" Type="http://schemas.openxmlformats.org/officeDocument/2006/relationships/hyperlink" Target="https://dsrdata.com.au/products/about_context_rulers" TargetMode="External"/><Relationship Id="rId96"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srdata.com.au/products/about_context_rulers" TargetMode="External"/><Relationship Id="rId28" Type="http://schemas.openxmlformats.org/officeDocument/2006/relationships/image" Target="media/image3.png"/><Relationship Id="rId49" Type="http://schemas.openxmlformats.org/officeDocument/2006/relationships/chart" Target="charts/chart21.xml"/><Relationship Id="rId114" Type="http://schemas.openxmlformats.org/officeDocument/2006/relationships/hyperlink" Target="https://www.dsrdata.com.au/" TargetMode="External"/><Relationship Id="rId119" Type="http://schemas.openxmlformats.org/officeDocument/2006/relationships/hyperlink" Target="mailto:info@srponline.com.au" TargetMode="External"/><Relationship Id="rId44" Type="http://schemas.openxmlformats.org/officeDocument/2006/relationships/image" Target="media/image7.png"/><Relationship Id="rId60" Type="http://schemas.openxmlformats.org/officeDocument/2006/relationships/image" Target="media/image11.png"/><Relationship Id="rId65" Type="http://schemas.openxmlformats.org/officeDocument/2006/relationships/chart" Target="charts/chart25.xml"/><Relationship Id="rId81" Type="http://schemas.openxmlformats.org/officeDocument/2006/relationships/chart" Target="charts/chart29.xml"/><Relationship Id="rId86" Type="http://schemas.openxmlformats.org/officeDocument/2006/relationships/hyperlink" Target="https://dsrdata.com.au/stats/u2h" TargetMode="Externa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hyperlink" Target="https://dsrdata.com.au/products/about_context_rulers" TargetMode="External"/><Relationship Id="rId109" Type="http://schemas.openxmlformats.org/officeDocument/2006/relationships/chart" Target="charts/chart36.xml"/><Relationship Id="rId34" Type="http://schemas.openxmlformats.org/officeDocument/2006/relationships/hyperlink" Target="https://dsrdata.com.au/stats/sr" TargetMode="External"/><Relationship Id="rId50" Type="http://schemas.openxmlformats.org/officeDocument/2006/relationships/hyperlink" Target="https://dsrdata.com.au/stats/acr" TargetMode="External"/><Relationship Id="rId55" Type="http://schemas.openxmlformats.org/officeDocument/2006/relationships/hyperlink" Target="https://dsrdata.com.au/products/about_context_rulers" TargetMode="External"/><Relationship Id="rId76" Type="http://schemas.openxmlformats.org/officeDocument/2006/relationships/image" Target="media/image15.png"/><Relationship Id="rId97" Type="http://schemas.openxmlformats.org/officeDocument/2006/relationships/chart" Target="charts/chart33.xml"/><Relationship Id="rId104" Type="http://schemas.openxmlformats.org/officeDocument/2006/relationships/image" Target="media/image22.png"/><Relationship Id="rId120" Type="http://schemas.openxmlformats.org/officeDocument/2006/relationships/header" Target="header1.xml"/><Relationship Id="rId125" Type="http://schemas.openxmlformats.org/officeDocument/2006/relationships/customXml" Target="../customXml/item2.xml"/><Relationship Id="rId7" Type="http://schemas.openxmlformats.org/officeDocument/2006/relationships/image" Target="media/image1.jpeg"/><Relationship Id="rId71" Type="http://schemas.openxmlformats.org/officeDocument/2006/relationships/hyperlink" Target="https://dsrdata.com.au/products/about_context_rulers" TargetMode="External"/><Relationship Id="rId92" Type="http://schemas.openxmlformats.org/officeDocument/2006/relationships/image" Target="media/image19.png"/><Relationship Id="rId2" Type="http://schemas.openxmlformats.org/officeDocument/2006/relationships/styles" Target="styles.xml"/><Relationship Id="rId29" Type="http://schemas.openxmlformats.org/officeDocument/2006/relationships/chart" Target="charts/chart16.xml"/><Relationship Id="rId24" Type="http://schemas.openxmlformats.org/officeDocument/2006/relationships/image" Target="media/image2.png"/><Relationship Id="rId40" Type="http://schemas.openxmlformats.org/officeDocument/2006/relationships/image" Target="media/image6.png"/><Relationship Id="rId45" Type="http://schemas.openxmlformats.org/officeDocument/2006/relationships/chart" Target="charts/chart20.xml"/><Relationship Id="rId66" Type="http://schemas.openxmlformats.org/officeDocument/2006/relationships/hyperlink" Target="https://dsrdata.com.au/stats/som_perc" TargetMode="External"/><Relationship Id="rId87" Type="http://schemas.openxmlformats.org/officeDocument/2006/relationships/hyperlink" Target="https://dsrdata.com.au/products/about_context_rulers" TargetMode="External"/><Relationship Id="rId110" Type="http://schemas.openxmlformats.org/officeDocument/2006/relationships/chart" Target="charts/chart37.xml"/><Relationship Id="rId115" Type="http://schemas.openxmlformats.org/officeDocument/2006/relationships/hyperlink" Target="https://sellorhold.com.au/" TargetMode="External"/><Relationship Id="rId61" Type="http://schemas.openxmlformats.org/officeDocument/2006/relationships/chart" Target="charts/chart24.xml"/><Relationship Id="rId82" Type="http://schemas.openxmlformats.org/officeDocument/2006/relationships/hyperlink" Target="https://dsrdata.com.au/stats/rep" TargetMode="Externa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hyperlink" Target="https://dsrdata.com.au/stats/sr_plus" TargetMode="External"/><Relationship Id="rId35" Type="http://schemas.openxmlformats.org/officeDocument/2006/relationships/hyperlink" Target="https://dsrdata.com.au/products/about_context_rulers" TargetMode="External"/><Relationship Id="rId56" Type="http://schemas.openxmlformats.org/officeDocument/2006/relationships/image" Target="media/image10.png"/><Relationship Id="rId77" Type="http://schemas.openxmlformats.org/officeDocument/2006/relationships/chart" Target="charts/chart28.xml"/><Relationship Id="rId100" Type="http://schemas.openxmlformats.org/officeDocument/2006/relationships/image" Target="media/image21.png"/><Relationship Id="rId105" Type="http://schemas.openxmlformats.org/officeDocument/2006/relationships/chart" Target="charts/chart35.xml"/><Relationship Id="rId126" Type="http://schemas.openxmlformats.org/officeDocument/2006/relationships/customXml" Target="../customXml/item3.xml"/><Relationship Id="rId8" Type="http://schemas.openxmlformats.org/officeDocument/2006/relationships/chart" Target="charts/chart1.xml"/><Relationship Id="rId51" Type="http://schemas.openxmlformats.org/officeDocument/2006/relationships/hyperlink" Target="https://dsrdata.com.au/products/about_context_rulers" TargetMode="External"/><Relationship Id="rId72" Type="http://schemas.openxmlformats.org/officeDocument/2006/relationships/image" Target="media/image14.png"/><Relationship Id="rId93" Type="http://schemas.openxmlformats.org/officeDocument/2006/relationships/chart" Target="charts/chart32.xml"/><Relationship Id="rId98" Type="http://schemas.openxmlformats.org/officeDocument/2006/relationships/hyperlink" Target="https://dsrdata.com.au/stats/sales_growth_perc"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chart" Target="charts/chart15.xml"/><Relationship Id="rId46" Type="http://schemas.openxmlformats.org/officeDocument/2006/relationships/hyperlink" Target="https://dsrdata.com.au/stats/discount" TargetMode="External"/><Relationship Id="rId67" Type="http://schemas.openxmlformats.org/officeDocument/2006/relationships/hyperlink" Target="https://dsrdata.com.au/products/about_context_rulers" TargetMode="External"/><Relationship Id="rId116" Type="http://schemas.openxmlformats.org/officeDocument/2006/relationships/hyperlink" Target="https://locationscore.com.au/" TargetMode="External"/><Relationship Id="rId20" Type="http://schemas.openxmlformats.org/officeDocument/2006/relationships/chart" Target="charts/chart13.xml"/><Relationship Id="rId41" Type="http://schemas.openxmlformats.org/officeDocument/2006/relationships/chart" Target="charts/chart19.xml"/><Relationship Id="rId62" Type="http://schemas.openxmlformats.org/officeDocument/2006/relationships/hyperlink" Target="https://dsrdata.com.au/stats/yield" TargetMode="External"/><Relationship Id="rId83" Type="http://schemas.openxmlformats.org/officeDocument/2006/relationships/hyperlink" Target="https://dsrdata.com.au/products/about_context_rulers" TargetMode="External"/><Relationship Id="rId88" Type="http://schemas.openxmlformats.org/officeDocument/2006/relationships/image" Target="media/image18.png"/><Relationship Id="rId111" Type="http://schemas.openxmlformats.org/officeDocument/2006/relationships/chart" Target="charts/chart38.xml"/><Relationship Id="rId15" Type="http://schemas.openxmlformats.org/officeDocument/2006/relationships/chart" Target="charts/chart8.xml"/><Relationship Id="rId36" Type="http://schemas.openxmlformats.org/officeDocument/2006/relationships/image" Target="media/image5.png"/><Relationship Id="rId57" Type="http://schemas.openxmlformats.org/officeDocument/2006/relationships/chart" Target="charts/chart23.xml"/><Relationship Id="rId106" Type="http://schemas.openxmlformats.org/officeDocument/2006/relationships/hyperlink" Target="https://dsrdata.com.au/stats/sbofi_perc" TargetMode="External"/><Relationship Id="rId10" Type="http://schemas.openxmlformats.org/officeDocument/2006/relationships/chart" Target="charts/chart3.xml"/><Relationship Id="rId31" Type="http://schemas.openxmlformats.org/officeDocument/2006/relationships/hyperlink" Target="https://dsrdata.com.au/products/about_context_rulers" TargetMode="External"/><Relationship Id="rId52" Type="http://schemas.openxmlformats.org/officeDocument/2006/relationships/image" Target="media/image9.png"/><Relationship Id="rId73" Type="http://schemas.openxmlformats.org/officeDocument/2006/relationships/chart" Target="charts/chart27.xml"/><Relationship Id="rId78" Type="http://schemas.openxmlformats.org/officeDocument/2006/relationships/hyperlink" Target="https://dsrdata.com.au/stats/npb" TargetMode="External"/><Relationship Id="rId94" Type="http://schemas.openxmlformats.org/officeDocument/2006/relationships/hyperlink" Target="https://dsrdata.com.au/stats/rent_growth_perc" TargetMode="External"/><Relationship Id="rId99" Type="http://schemas.openxmlformats.org/officeDocument/2006/relationships/hyperlink" Target="https://dsrdata.com.au/products/about_context_rulers" TargetMode="External"/><Relationship Id="rId101" Type="http://schemas.openxmlformats.org/officeDocument/2006/relationships/chart" Target="charts/chart34.xm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2.xml"/></Relationships>
</file>

<file path=word/_rels/footer1.xml.rels><?xml version="1.0" encoding="UTF-8" standalone="yes"?>
<Relationships xmlns="http://schemas.openxmlformats.org/package/2006/relationships"><Relationship Id="rId1" Type="http://schemas.openxmlformats.org/officeDocument/2006/relationships/hyperlink" Target="https://DSRdata.com.a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7.xml"/><Relationship Id="rId1" Type="http://schemas.microsoft.com/office/2011/relationships/chartStyle" Target="style7.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8.xml"/><Relationship Id="rId1" Type="http://schemas.microsoft.com/office/2011/relationships/chartStyle" Target="style8.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9.xml"/><Relationship Id="rId1" Type="http://schemas.microsoft.com/office/2011/relationships/chartStyle" Target="style9.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0.xml"/><Relationship Id="rId1" Type="http://schemas.microsoft.com/office/2011/relationships/chartStyle" Target="style10.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14.xml"/><Relationship Id="rId1" Type="http://schemas.microsoft.com/office/2011/relationships/chartStyle" Target="style14.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5.xml"/><Relationship Id="rId1" Type="http://schemas.microsoft.com/office/2011/relationships/chartStyle" Target="style15.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7.xml"/><Relationship Id="rId1" Type="http://schemas.microsoft.com/office/2011/relationships/chartStyle" Target="style17.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8.xml"/><Relationship Id="rId1" Type="http://schemas.microsoft.com/office/2011/relationships/chartStyle" Target="style18.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9.xml"/><Relationship Id="rId1" Type="http://schemas.microsoft.com/office/2011/relationships/chartStyle" Target="style19.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0.xml"/><Relationship Id="rId1" Type="http://schemas.microsoft.com/office/2011/relationships/chartStyle" Target="style20.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2.xml"/><Relationship Id="rId1" Type="http://schemas.microsoft.com/office/2011/relationships/chartStyle" Target="style22.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3.xml"/><Relationship Id="rId1" Type="http://schemas.microsoft.com/office/2011/relationships/chartStyle" Target="style23.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4.xml"/><Relationship Id="rId1" Type="http://schemas.microsoft.com/office/2011/relationships/chartStyle" Target="style24.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5.xml"/><Relationship Id="rId1" Type="http://schemas.microsoft.com/office/2011/relationships/chartStyle" Target="style25.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6.xml"/><Relationship Id="rId1" Type="http://schemas.microsoft.com/office/2011/relationships/chartStyle" Target="style26.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27.xml"/><Relationship Id="rId1" Type="http://schemas.microsoft.com/office/2011/relationships/chartStyle" Target="style27.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28.xml"/><Relationship Id="rId1" Type="http://schemas.microsoft.com/office/2011/relationships/chartStyle" Target="style28.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29.xml"/><Relationship Id="rId1" Type="http://schemas.microsoft.com/office/2011/relationships/chartStyle" Target="style29.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0.xml"/><Relationship Id="rId1" Type="http://schemas.microsoft.com/office/2011/relationships/chartStyle" Target="style30.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GB" sz="1000"/>
              <a:t>Migration 1 year</a:t>
            </a:r>
          </a:p>
        </c:rich>
      </c:tx>
      <c:layout>
        <c:manualLayout>
          <c:xMode val="edge"/>
          <c:yMode val="edge"/>
          <c:x val="0.71775221408426337"/>
          <c:y val="3.5543061225810201E-3"/>
        </c:manualLayout>
      </c:layout>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1.3041576324698543E-2"/>
          <c:y val="7.11044740097143E-2"/>
          <c:w val="0.98695842367530151"/>
          <c:h val="0.91448788728995078"/>
        </c:manualLayout>
      </c:layout>
      <c:doughnutChart>
        <c:varyColors val="1"/>
        <c:ser>
          <c:idx val="0"/>
          <c:order val="0"/>
          <c:tx>
            <c:strRef>
              <c:f>AOPChartSheet_chart4!$B$1</c:f>
              <c:strCache>
                <c:ptCount val="1"/>
                <c:pt idx="0">
                  <c:v>Series1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8F48-4FFE-93A6-F8DB04F6676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8F48-4FFE-93A6-F8DB04F66761}"/>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8F48-4FFE-93A6-F8DB04F66761}"/>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8F48-4FFE-93A6-F8DB04F66761}"/>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AOPChartSheet_chart4!$A$2:$A$3</c:f>
              <c:strCache>
                <c:ptCount val="2"/>
                <c:pt idx="0">
                  <c:v>Same address</c:v>
                </c:pt>
                <c:pt idx="1">
                  <c:v>Different address</c:v>
                </c:pt>
              </c:strCache>
            </c:strRef>
          </c:cat>
          <c:val>
            <c:numRef>
              <c:f>AOPChartSheet_chart4!$B$2:$B$3</c:f>
              <c:numCache>
                <c:formatCode>General</c:formatCode>
                <c:ptCount val="2"/>
                <c:pt idx="0">
                  <c:v>8009</c:v>
                </c:pt>
                <c:pt idx="1">
                  <c:v>4876</c:v>
                </c:pt>
              </c:numCache>
            </c:numRef>
          </c:val>
          <c:extLst>
            <c:ext xmlns:c16="http://schemas.microsoft.com/office/drawing/2014/chart" uri="{C3380CC4-5D6E-409C-BE32-E72D297353CC}">
              <c16:uniqueId val="{00000008-8F48-4FFE-93A6-F8DB04F66761}"/>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GB" sz="1000"/>
              <a:t>Qualifications</a:t>
            </a:r>
          </a:p>
        </c:rich>
      </c:tx>
      <c:layout>
        <c:manualLayout>
          <c:xMode val="edge"/>
          <c:yMode val="edge"/>
          <c:x val="0.7251182795698925"/>
          <c:y val="7.6628352490421452E-3"/>
        </c:manualLayout>
      </c:layout>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0527395334900514"/>
          <c:y val="0.16559922100945271"/>
          <c:w val="0.79084495077581762"/>
          <c:h val="0.82821026274755916"/>
        </c:manualLayout>
      </c:layout>
      <c:pieChart>
        <c:varyColors val="1"/>
        <c:ser>
          <c:idx val="0"/>
          <c:order val="0"/>
          <c:tx>
            <c:strRef>
              <c:f>AOPChartSheet_chart4!$B$1</c:f>
              <c:strCache>
                <c:ptCount val="1"/>
                <c:pt idx="0">
                  <c:v>Series1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B96-4401-A44A-B52D820F635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B96-4401-A44A-B52D820F635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B96-4401-A44A-B52D820F635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B96-4401-A44A-B52D820F635D}"/>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AOPChartSheet_chart4!$A$2:$A$5</c:f>
              <c:strCache>
                <c:ptCount val="4"/>
                <c:pt idx="0">
                  <c:v>Postgraduate</c:v>
                </c:pt>
                <c:pt idx="1">
                  <c:v>Graduate Diploma or Certificate</c:v>
                </c:pt>
                <c:pt idx="2">
                  <c:v>Bachelor Degree</c:v>
                </c:pt>
                <c:pt idx="3">
                  <c:v>Certificate 2-4</c:v>
                </c:pt>
              </c:strCache>
            </c:strRef>
          </c:cat>
          <c:val>
            <c:numRef>
              <c:f>AOPChartSheet_chart4!$B$2:$B$5</c:f>
              <c:numCache>
                <c:formatCode>General</c:formatCode>
                <c:ptCount val="4"/>
                <c:pt idx="0">
                  <c:v>1729</c:v>
                </c:pt>
                <c:pt idx="1">
                  <c:v>408</c:v>
                </c:pt>
                <c:pt idx="2">
                  <c:v>4018</c:v>
                </c:pt>
                <c:pt idx="3">
                  <c:v>805</c:v>
                </c:pt>
              </c:numCache>
            </c:numRef>
          </c:val>
          <c:extLst>
            <c:ext xmlns:c16="http://schemas.microsoft.com/office/drawing/2014/chart" uri="{C3380CC4-5D6E-409C-BE32-E72D297353CC}">
              <c16:uniqueId val="{00000008-BB96-4401-A44A-B52D820F635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GB" sz="1000"/>
              <a:t>Occupation</a:t>
            </a:r>
          </a:p>
        </c:rich>
      </c:tx>
      <c:layout>
        <c:manualLayout>
          <c:xMode val="edge"/>
          <c:yMode val="edge"/>
          <c:x val="0.7251182795698925"/>
          <c:y val="7.6628352490421452E-3"/>
        </c:manualLayout>
      </c:layout>
      <c:overlay val="0"/>
      <c:spPr>
        <a:noFill/>
        <a:ln>
          <a:noFill/>
        </a:ln>
        <a:effectLst/>
      </c:spPr>
    </c:title>
    <c:autoTitleDeleted val="0"/>
    <c:plotArea>
      <c:layout>
        <c:manualLayout>
          <c:layoutTarget val="inner"/>
          <c:xMode val="edge"/>
          <c:yMode val="edge"/>
          <c:x val="0.20527395334900514"/>
          <c:y val="0.16559922100945271"/>
          <c:w val="0.79084495077581762"/>
          <c:h val="0.82821026274755916"/>
        </c:manualLayout>
      </c:layout>
      <c:pieChart>
        <c:varyColors val="1"/>
        <c:ser>
          <c:idx val="0"/>
          <c:order val="0"/>
          <c:tx>
            <c:strRef>
              <c:f>AOPChartSheet_chart4!$B$1</c:f>
              <c:strCache>
                <c:ptCount val="1"/>
                <c:pt idx="0">
                  <c:v>Series1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B96-4401-A44A-B52D820F635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B96-4401-A44A-B52D820F635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B96-4401-A44A-B52D820F635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B96-4401-A44A-B52D820F635D}"/>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AOPChartSheet_chart4!$A$2:$A$10</c:f>
              <c:strCache>
                <c:ptCount val="9"/>
                <c:pt idx="0">
                  <c:v>Managers</c:v>
                </c:pt>
                <c:pt idx="1">
                  <c:v>Professionals</c:v>
                </c:pt>
                <c:pt idx="2">
                  <c:v>Technicians and trades</c:v>
                </c:pt>
                <c:pt idx="3">
                  <c:v>Community and personal service</c:v>
                </c:pt>
                <c:pt idx="4">
                  <c:v>Clerical and administrative</c:v>
                </c:pt>
                <c:pt idx="5">
                  <c:v>Sales</c:v>
                </c:pt>
                <c:pt idx="6">
                  <c:v>Machinery operators and drivers</c:v>
                </c:pt>
                <c:pt idx="7">
                  <c:v>Labourers</c:v>
                </c:pt>
                <c:pt idx="8">
                  <c:v>Not stated</c:v>
                </c:pt>
              </c:strCache>
            </c:strRef>
          </c:cat>
          <c:val>
            <c:numRef>
              <c:f>AOPChartSheet_chart4!$B$2:$B$10</c:f>
              <c:numCache>
                <c:formatCode>General</c:formatCode>
                <c:ptCount val="9"/>
                <c:pt idx="0">
                  <c:v>841</c:v>
                </c:pt>
                <c:pt idx="1">
                  <c:v>2875</c:v>
                </c:pt>
                <c:pt idx="2">
                  <c:v>439</c:v>
                </c:pt>
                <c:pt idx="3">
                  <c:v>772</c:v>
                </c:pt>
                <c:pt idx="4">
                  <c:v>766</c:v>
                </c:pt>
                <c:pt idx="5">
                  <c:v>575</c:v>
                </c:pt>
                <c:pt idx="6">
                  <c:v>132</c:v>
                </c:pt>
                <c:pt idx="7">
                  <c:v>339</c:v>
                </c:pt>
                <c:pt idx="8">
                  <c:v>111</c:v>
                </c:pt>
              </c:numCache>
            </c:numRef>
          </c:val>
          <c:extLst>
            <c:ext xmlns:c16="http://schemas.microsoft.com/office/drawing/2014/chart" uri="{C3380CC4-5D6E-409C-BE32-E72D297353CC}">
              <c16:uniqueId val="{00000008-BB96-4401-A44A-B52D820F635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GB" sz="1000"/>
              <a:t>Labour Force Status</a:t>
            </a:r>
          </a:p>
        </c:rich>
      </c:tx>
      <c:layout>
        <c:manualLayout>
          <c:xMode val="edge"/>
          <c:yMode val="edge"/>
          <c:x val="0.7251182795698925"/>
          <c:y val="7.6628352490421452E-3"/>
        </c:manualLayout>
      </c:layout>
      <c:overlay val="0"/>
      <c:spPr>
        <a:noFill/>
        <a:ln>
          <a:noFill/>
        </a:ln>
        <a:effectLst/>
      </c:spPr>
    </c:title>
    <c:autoTitleDeleted val="0"/>
    <c:plotArea>
      <c:layout>
        <c:manualLayout>
          <c:layoutTarget val="inner"/>
          <c:xMode val="edge"/>
          <c:yMode val="edge"/>
          <c:x val="0.20527395334900514"/>
          <c:y val="0.16559922100945271"/>
          <c:w val="0.79084495077581762"/>
          <c:h val="0.82821026274755916"/>
        </c:manualLayout>
      </c:layout>
      <c:pieChart>
        <c:varyColors val="1"/>
        <c:ser>
          <c:idx val="0"/>
          <c:order val="0"/>
          <c:tx>
            <c:strRef>
              <c:f>AOPChartSheet_chart4!$B$1</c:f>
              <c:strCache>
                <c:ptCount val="1"/>
                <c:pt idx="0">
                  <c:v>Series1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B96-4401-A44A-B52D820F635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B96-4401-A44A-B52D820F635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B96-4401-A44A-B52D820F635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B96-4401-A44A-B52D820F635D}"/>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AOPChartSheet_chart4!$A$2:$A$6</c:f>
              <c:strCache>
                <c:ptCount val="5"/>
                <c:pt idx="0">
                  <c:v>Full time</c:v>
                </c:pt>
                <c:pt idx="1">
                  <c:v>Part time</c:v>
                </c:pt>
                <c:pt idx="2">
                  <c:v>Employed away from work</c:v>
                </c:pt>
                <c:pt idx="3">
                  <c:v>Unemployed</c:v>
                </c:pt>
                <c:pt idx="4">
                  <c:v>Not in the labour force</c:v>
                </c:pt>
              </c:strCache>
            </c:strRef>
          </c:cat>
          <c:val>
            <c:numRef>
              <c:f>AOPChartSheet_chart4!$B$2:$B$6</c:f>
              <c:numCache>
                <c:formatCode>General</c:formatCode>
                <c:ptCount val="5"/>
                <c:pt idx="0">
                  <c:v>4223</c:v>
                </c:pt>
                <c:pt idx="1">
                  <c:v>2269</c:v>
                </c:pt>
                <c:pt idx="2">
                  <c:v>358</c:v>
                </c:pt>
                <c:pt idx="3">
                  <c:v>867</c:v>
                </c:pt>
                <c:pt idx="4">
                  <c:v>4119</c:v>
                </c:pt>
              </c:numCache>
            </c:numRef>
          </c:val>
          <c:extLst>
            <c:ext xmlns:c16="http://schemas.microsoft.com/office/drawing/2014/chart" uri="{C3380CC4-5D6E-409C-BE32-E72D297353CC}">
              <c16:uniqueId val="{00000008-BB96-4401-A44A-B52D820F635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ln w="9525">
                  <a:noFill/>
                </a:ln>
                <a:solidFill>
                  <a:schemeClr val="tx1">
                    <a:lumMod val="50000"/>
                    <a:lumOff val="50000"/>
                  </a:schemeClr>
                </a:solidFill>
                <a:latin typeface="+mn-lt"/>
                <a:ea typeface="+mn-ea"/>
                <a:cs typeface="+mn-cs"/>
              </a:defRPr>
            </a:pPr>
            <a:r>
              <a:rPr lang="en-GB" sz="1000">
                <a:ln w="9525">
                  <a:noFill/>
                </a:ln>
                <a:solidFill>
                  <a:srgbClr val="7F7F7F"/>
                </a:solidFill>
              </a:rPr>
              <a:t>Industry</a:t>
            </a:r>
          </a:p>
        </c:rich>
      </c:tx>
      <c:layout>
        <c:manualLayout>
          <c:xMode val="edge"/>
          <c:yMode val="edge"/>
          <c:x val="0.83095197496634488"/>
          <c:y val="2.0989505247376312E-2"/>
        </c:manualLayout>
      </c:layout>
      <c:overlay val="0"/>
      <c:spPr>
        <a:noFill/>
        <a:ln>
          <a:noFill/>
        </a:ln>
        <a:effectLst/>
      </c:spPr>
    </c:title>
    <c:autoTitleDeleted val="0"/>
    <c:plotArea>
      <c:layout>
        <c:manualLayout>
          <c:layoutTarget val="inner"/>
          <c:xMode val="edge"/>
          <c:yMode val="edge"/>
          <c:x val="0.2606441697012733"/>
          <c:y val="7.5577329445513458E-2"/>
          <c:w val="0.70945372409878604"/>
          <c:h val="0.85486264741644924"/>
        </c:manualLayout>
      </c:layout>
      <c:barChart>
        <c:barDir val="bar"/>
        <c:grouping val="clustered"/>
        <c:varyColors val="1"/>
        <c:ser>
          <c:idx val="0"/>
          <c:order val="0"/>
          <c:tx>
            <c:strRef>
              <c:f>AOPChartSheet_chart4!$B$1</c:f>
              <c:strCache>
                <c:ptCount val="1"/>
                <c:pt idx="0">
                  <c:v>Series1</c:v>
                </c:pt>
              </c:strCache>
            </c:strRef>
          </c:tx>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64FD-41CB-B814-44EA7287216B}"/>
              </c:ext>
            </c:extLst>
          </c:dPt>
          <c:dPt>
            <c:idx val="1"/>
            <c:invertIfNegative val="0"/>
            <c:bubble3D val="0"/>
            <c:spPr>
              <a:solidFill>
                <a:srgbClr val="FF9999"/>
              </a:solidFill>
              <a:ln>
                <a:noFill/>
              </a:ln>
              <a:effectLst/>
            </c:spPr>
            <c:extLst>
              <c:ext xmlns:c16="http://schemas.microsoft.com/office/drawing/2014/chart" uri="{C3380CC4-5D6E-409C-BE32-E72D297353CC}">
                <c16:uniqueId val="{00000003-64FD-41CB-B814-44EA7287216B}"/>
              </c:ext>
            </c:extLst>
          </c:dPt>
          <c:dPt>
            <c:idx val="2"/>
            <c:invertIfNegative val="0"/>
            <c:bubble3D val="0"/>
            <c:spPr>
              <a:solidFill>
                <a:srgbClr val="CCFF66"/>
              </a:solidFill>
              <a:ln>
                <a:noFill/>
              </a:ln>
              <a:effectLst/>
            </c:spPr>
            <c:extLst>
              <c:ext xmlns:c16="http://schemas.microsoft.com/office/drawing/2014/chart" uri="{C3380CC4-5D6E-409C-BE32-E72D297353CC}">
                <c16:uniqueId val="{00000005-64FD-41CB-B814-44EA7287216B}"/>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64FD-41CB-B814-44EA7287216B}"/>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AOPChartSheet_chart4!$A$2:$A$21</c:f>
              <c:strCache>
                <c:ptCount val="20"/>
                <c:pt idx="0">
                  <c:v>Agriculture forestry and fishing</c:v>
                </c:pt>
                <c:pt idx="1">
                  <c:v>Mining</c:v>
                </c:pt>
                <c:pt idx="2">
                  <c:v>Manufacturing</c:v>
                </c:pt>
                <c:pt idx="3">
                  <c:v>Electricity gas water and waste</c:v>
                </c:pt>
                <c:pt idx="4">
                  <c:v>Construction</c:v>
                </c:pt>
                <c:pt idx="5">
                  <c:v>Wholesale trade</c:v>
                </c:pt>
                <c:pt idx="6">
                  <c:v>Retail trade</c:v>
                </c:pt>
                <c:pt idx="7">
                  <c:v>Accommodation and food</c:v>
                </c:pt>
                <c:pt idx="8">
                  <c:v>Transport postal and warehousing</c:v>
                </c:pt>
                <c:pt idx="9">
                  <c:v>Information media and telco</c:v>
                </c:pt>
                <c:pt idx="10">
                  <c:v>Financial and insurance</c:v>
                </c:pt>
                <c:pt idx="11">
                  <c:v>Rental and real estate</c:v>
                </c:pt>
                <c:pt idx="12">
                  <c:v>Scientific and tech</c:v>
                </c:pt>
                <c:pt idx="13">
                  <c:v>Administrative and support</c:v>
                </c:pt>
                <c:pt idx="14">
                  <c:v>Public administration and safety</c:v>
                </c:pt>
                <c:pt idx="15">
                  <c:v>Education and training</c:v>
                </c:pt>
                <c:pt idx="16">
                  <c:v>Health care and social assistance</c:v>
                </c:pt>
                <c:pt idx="17">
                  <c:v>Arts and recreation</c:v>
                </c:pt>
                <c:pt idx="18">
                  <c:v>Other</c:v>
                </c:pt>
                <c:pt idx="19">
                  <c:v>Not stated</c:v>
                </c:pt>
              </c:strCache>
            </c:strRef>
          </c:cat>
          <c:val>
            <c:numRef>
              <c:f>AOPChartSheet_chart4!$B$2:$B$21</c:f>
              <c:numCache>
                <c:formatCode>General</c:formatCode>
                <c:ptCount val="20"/>
                <c:pt idx="0">
                  <c:v>13</c:v>
                </c:pt>
                <c:pt idx="1">
                  <c:v>9</c:v>
                </c:pt>
                <c:pt idx="2">
                  <c:v>219</c:v>
                </c:pt>
                <c:pt idx="3">
                  <c:v>60</c:v>
                </c:pt>
                <c:pt idx="4">
                  <c:v>167</c:v>
                </c:pt>
                <c:pt idx="5">
                  <c:v>137</c:v>
                </c:pt>
                <c:pt idx="6">
                  <c:v>572</c:v>
                </c:pt>
                <c:pt idx="7">
                  <c:v>731</c:v>
                </c:pt>
                <c:pt idx="8">
                  <c:v>204</c:v>
                </c:pt>
                <c:pt idx="9">
                  <c:v>237</c:v>
                </c:pt>
                <c:pt idx="10">
                  <c:v>324</c:v>
                </c:pt>
                <c:pt idx="11">
                  <c:v>96</c:v>
                </c:pt>
                <c:pt idx="12">
                  <c:v>1119</c:v>
                </c:pt>
                <c:pt idx="13">
                  <c:v>219</c:v>
                </c:pt>
                <c:pt idx="14">
                  <c:v>340</c:v>
                </c:pt>
                <c:pt idx="15">
                  <c:v>799</c:v>
                </c:pt>
                <c:pt idx="16">
                  <c:v>936</c:v>
                </c:pt>
                <c:pt idx="17">
                  <c:v>215</c:v>
                </c:pt>
                <c:pt idx="18">
                  <c:v>185</c:v>
                </c:pt>
                <c:pt idx="19">
                  <c:v>265</c:v>
                </c:pt>
              </c:numCache>
            </c:numRef>
          </c:val>
          <c:extLst>
            <c:ext xmlns:c16="http://schemas.microsoft.com/office/drawing/2014/chart" uri="{C3380CC4-5D6E-409C-BE32-E72D297353CC}">
              <c16:uniqueId val="{00000008-64FD-41CB-B814-44EA7287216B}"/>
            </c:ext>
          </c:extLst>
        </c:ser>
        <c:dLbls>
          <c:showLegendKey val="0"/>
          <c:showVal val="0"/>
          <c:showCatName val="0"/>
          <c:showSerName val="0"/>
          <c:showPercent val="0"/>
          <c:showBubbleSize val="0"/>
        </c:dLbls>
        <c:gapWidth val="326"/>
        <c:overlap val="-58"/>
        <c:axId val="1422950688"/>
        <c:axId val="1426196576"/>
      </c:barChart>
      <c:valAx>
        <c:axId val="142619657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9525">
                  <a:solidFill>
                    <a:schemeClr val="tx1">
                      <a:lumMod val="15000"/>
                      <a:lumOff val="85000"/>
                    </a:schemeClr>
                  </a:solidFill>
                </a:ln>
                <a:solidFill>
                  <a:schemeClr val="tx1">
                    <a:lumMod val="65000"/>
                    <a:lumOff val="35000"/>
                  </a:schemeClr>
                </a:solidFill>
                <a:latin typeface="+mn-lt"/>
                <a:ea typeface="+mn-ea"/>
                <a:cs typeface="+mn-cs"/>
              </a:defRPr>
            </a:pPr>
            <a:endParaRPr lang="en-US"/>
          </a:p>
        </c:txPr>
        <c:crossAx val="1422950688"/>
        <c:crosses val="autoZero"/>
        <c:crossBetween val="between"/>
      </c:valAx>
      <c:catAx>
        <c:axId val="142295068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ln w="0">
                  <a:noFill/>
                </a:ln>
                <a:solidFill>
                  <a:sysClr val="windowText" lastClr="000000"/>
                </a:solidFill>
                <a:latin typeface="+mn-lt"/>
                <a:ea typeface="+mn-ea"/>
                <a:cs typeface="+mn-cs"/>
              </a:defRPr>
            </a:pPr>
            <a:endParaRPr lang="en-US"/>
          </a:p>
        </c:txPr>
        <c:crossAx val="1426196576"/>
        <c:crosses val="autoZero"/>
        <c:auto val="1"/>
        <c:lblAlgn val="ctr"/>
        <c:lblOffset val="100"/>
        <c:noMultiLvlLbl val="0"/>
      </c:catAx>
      <c:spPr>
        <a:noFill/>
        <a:ln>
          <a:noFill/>
        </a:ln>
        <a:effectLst/>
      </c:spPr>
    </c:plotArea>
    <c:plotVisOnly val="1"/>
    <c:dispBlanksAs val="gap"/>
    <c:showDLblsOverMax val="1"/>
  </c:chart>
  <c:spPr>
    <a:solidFill>
      <a:schemeClr val="bg1"/>
    </a:solidFill>
    <a:ln w="12700" cap="flat" cmpd="sng" algn="ctr">
      <a:solidFill>
        <a:schemeClr val="tx1">
          <a:lumMod val="15000"/>
          <a:lumOff val="85000"/>
        </a:schemeClr>
      </a:solidFill>
      <a:round/>
    </a:ln>
    <a:effectLst/>
  </c:spPr>
  <c:txPr>
    <a:bodyPr/>
    <a:lstStyle/>
    <a:p>
      <a:pPr>
        <a:defRPr>
          <a:ln w="9525">
            <a:solidFill>
              <a:schemeClr val="tx1">
                <a:lumMod val="15000"/>
                <a:lumOff val="85000"/>
              </a:schemeClr>
            </a:solidFill>
          </a:ln>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en-GB" sz="1000"/>
              <a:t>Age</a:t>
            </a:r>
          </a:p>
        </c:rich>
      </c:tx>
      <c:layout>
        <c:manualLayout>
          <c:xMode val="edge"/>
          <c:yMode val="edge"/>
          <c:x val="0.83919185287447295"/>
          <c:y val="2.7368100957883532E-2"/>
        </c:manualLayout>
      </c:layout>
      <c:overlay val="0"/>
      <c:spPr>
        <a:noFill/>
        <a:ln>
          <a:noFill/>
        </a:ln>
        <a:effectLst/>
      </c:spPr>
    </c:title>
    <c:autoTitleDeleted val="0"/>
    <c:plotArea>
      <c:layout>
        <c:manualLayout>
          <c:layoutTarget val="inner"/>
          <c:xMode val="edge"/>
          <c:yMode val="edge"/>
          <c:x val="6.2990926819470244E-2"/>
          <c:y val="8.272780711594567E-2"/>
          <c:w val="0.92939437681654724"/>
          <c:h val="0.73117437407141805"/>
        </c:manualLayout>
      </c:layout>
      <c:barChart>
        <c:barDir val="col"/>
        <c:grouping val="clustered"/>
        <c:varyColors val="1"/>
        <c:ser>
          <c:idx val="0"/>
          <c:order val="0"/>
          <c:tx>
            <c:strRef>
              <c:f>AOPChartSheet_chart4!$B$1</c:f>
              <c:strCache>
                <c:ptCount val="1"/>
                <c:pt idx="0">
                  <c:v>Series1</c:v>
                </c:pt>
              </c:strCache>
            </c:strRef>
          </c:tx>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CD00-4DAF-9754-1A51E6B053B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D00-4DAF-9754-1A51E6B053BA}"/>
              </c:ext>
            </c:extLst>
          </c:dPt>
          <c:dPt>
            <c:idx val="2"/>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5-CD00-4DAF-9754-1A51E6B053BA}"/>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CD00-4DAF-9754-1A51E6B053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AOPChartSheet_chart4!$A$2:$A$12</c:f>
              <c:strCache>
                <c:ptCount val="11"/>
                <c:pt idx="0">
                  <c:v>0-4</c:v>
                </c:pt>
                <c:pt idx="1">
                  <c:v>5-14</c:v>
                </c:pt>
                <c:pt idx="2">
                  <c:v>15-19</c:v>
                </c:pt>
                <c:pt idx="3">
                  <c:v>20-24</c:v>
                </c:pt>
                <c:pt idx="4">
                  <c:v>25-34</c:v>
                </c:pt>
                <c:pt idx="5">
                  <c:v>35-44</c:v>
                </c:pt>
                <c:pt idx="6">
                  <c:v>45-54</c:v>
                </c:pt>
                <c:pt idx="7">
                  <c:v>55-64</c:v>
                </c:pt>
                <c:pt idx="8">
                  <c:v>65-74</c:v>
                </c:pt>
                <c:pt idx="9">
                  <c:v>75-84</c:v>
                </c:pt>
                <c:pt idx="10">
                  <c:v>85+</c:v>
                </c:pt>
              </c:strCache>
            </c:strRef>
          </c:cat>
          <c:val>
            <c:numRef>
              <c:f>AOPChartSheet_chart4!$B$2:$B$12</c:f>
              <c:numCache>
                <c:formatCode>General</c:formatCode>
                <c:ptCount val="11"/>
                <c:pt idx="0">
                  <c:v>589</c:v>
                </c:pt>
                <c:pt idx="1">
                  <c:v>976</c:v>
                </c:pt>
                <c:pt idx="2">
                  <c:v>1090</c:v>
                </c:pt>
                <c:pt idx="3">
                  <c:v>2907</c:v>
                </c:pt>
                <c:pt idx="4">
                  <c:v>4216</c:v>
                </c:pt>
                <c:pt idx="5">
                  <c:v>1896</c:v>
                </c:pt>
                <c:pt idx="6">
                  <c:v>1267</c:v>
                </c:pt>
                <c:pt idx="7">
                  <c:v>942</c:v>
                </c:pt>
                <c:pt idx="8">
                  <c:v>621</c:v>
                </c:pt>
                <c:pt idx="9">
                  <c:v>333</c:v>
                </c:pt>
                <c:pt idx="10">
                  <c:v>106</c:v>
                </c:pt>
              </c:numCache>
            </c:numRef>
          </c:val>
          <c:extLst>
            <c:ext xmlns:c16="http://schemas.microsoft.com/office/drawing/2014/chart" uri="{C3380CC4-5D6E-409C-BE32-E72D297353CC}">
              <c16:uniqueId val="{00000008-CD00-4DAF-9754-1A51E6B053BA}"/>
            </c:ext>
          </c:extLst>
        </c:ser>
        <c:dLbls>
          <c:dLblPos val="inEnd"/>
          <c:showLegendKey val="0"/>
          <c:showVal val="0"/>
          <c:showCatName val="1"/>
          <c:showSerName val="0"/>
          <c:showPercent val="1"/>
          <c:showBubbleSize val="0"/>
        </c:dLbls>
        <c:gapWidth val="355"/>
        <c:overlap val="-70"/>
        <c:axId val="1476568079"/>
        <c:axId val="1375844911"/>
      </c:barChart>
      <c:catAx>
        <c:axId val="147656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844911"/>
        <c:crosses val="autoZero"/>
        <c:auto val="1"/>
        <c:lblAlgn val="ctr"/>
        <c:lblOffset val="100"/>
        <c:noMultiLvlLbl val="0"/>
      </c:catAx>
      <c:valAx>
        <c:axId val="137584491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568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54</c:v>
                </c:pt>
                <c:pt idx="1">
                  <c:v>61</c:v>
                </c:pt>
                <c:pt idx="2">
                  <c:v>53</c:v>
                </c:pt>
                <c:pt idx="3">
                  <c:v>55</c:v>
                </c:pt>
                <c:pt idx="4">
                  <c:v>57</c:v>
                </c:pt>
                <c:pt idx="5">
                  <c:v>71</c:v>
                </c:pt>
                <c:pt idx="6">
                  <c:v>73</c:v>
                </c:pt>
                <c:pt idx="7">
                  <c:v>69</c:v>
                </c:pt>
                <c:pt idx="8">
                  <c:v>65</c:v>
                </c:pt>
                <c:pt idx="9">
                  <c:v>66</c:v>
                </c:pt>
                <c:pt idx="10">
                  <c:v>60</c:v>
                </c:pt>
                <c:pt idx="11">
                  <c:v>62</c:v>
                </c:pt>
                <c:pt idx="12">
                  <c:v>58</c:v>
                </c:pt>
                <c:pt idx="13">
                  <c:v>57</c:v>
                </c:pt>
                <c:pt idx="14">
                  <c:v>58</c:v>
                </c:pt>
                <c:pt idx="15">
                  <c:v>56</c:v>
                </c:pt>
                <c:pt idx="16">
                  <c:v>59</c:v>
                </c:pt>
                <c:pt idx="17">
                  <c:v>55</c:v>
                </c:pt>
                <c:pt idx="18">
                  <c:v>54</c:v>
                </c:pt>
                <c:pt idx="19">
                  <c:v>53</c:v>
                </c:pt>
                <c:pt idx="20">
                  <c:v>55</c:v>
                </c:pt>
                <c:pt idx="21">
                  <c:v>55</c:v>
                </c:pt>
                <c:pt idx="22">
                  <c:v>57</c:v>
                </c:pt>
                <c:pt idx="23">
                  <c:v>42</c:v>
                </c:pt>
                <c:pt idx="24">
                  <c:v>58</c:v>
                </c:pt>
                <c:pt idx="25">
                  <c:v>58</c:v>
                </c:pt>
                <c:pt idx="26">
                  <c:v>59</c:v>
                </c:pt>
                <c:pt idx="27">
                  <c:v>60</c:v>
                </c:pt>
                <c:pt idx="28">
                  <c:v>61</c:v>
                </c:pt>
                <c:pt idx="29">
                  <c:v>66</c:v>
                </c:pt>
                <c:pt idx="30">
                  <c:v>67</c:v>
                </c:pt>
                <c:pt idx="31">
                  <c:v>68</c:v>
                </c:pt>
                <c:pt idx="32">
                  <c:v>62</c:v>
                </c:pt>
                <c:pt idx="33">
                  <c:v>66</c:v>
                </c:pt>
                <c:pt idx="34">
                  <c:v>61</c:v>
                </c:pt>
                <c:pt idx="35">
                  <c:v>61</c:v>
                </c:pt>
                <c:pt idx="36">
                  <c:v>66</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62</c:v>
                </c:pt>
                <c:pt idx="1">
                  <c:v>60</c:v>
                </c:pt>
                <c:pt idx="2">
                  <c:v>59</c:v>
                </c:pt>
                <c:pt idx="3">
                  <c:v>56</c:v>
                </c:pt>
                <c:pt idx="4">
                  <c:v>57</c:v>
                </c:pt>
                <c:pt idx="5">
                  <c:v>59</c:v>
                </c:pt>
                <c:pt idx="6">
                  <c:v>59</c:v>
                </c:pt>
                <c:pt idx="7">
                  <c:v>56</c:v>
                </c:pt>
                <c:pt idx="8">
                  <c:v>60</c:v>
                </c:pt>
                <c:pt idx="9">
                  <c:v>60</c:v>
                </c:pt>
                <c:pt idx="10">
                  <c:v>61</c:v>
                </c:pt>
                <c:pt idx="11">
                  <c:v>63</c:v>
                </c:pt>
                <c:pt idx="12">
                  <c:v>61</c:v>
                </c:pt>
                <c:pt idx="13">
                  <c:v>60</c:v>
                </c:pt>
                <c:pt idx="14">
                  <c:v>61</c:v>
                </c:pt>
                <c:pt idx="15">
                  <c:v>59</c:v>
                </c:pt>
                <c:pt idx="16">
                  <c:v>62</c:v>
                </c:pt>
                <c:pt idx="17">
                  <c:v>62</c:v>
                </c:pt>
                <c:pt idx="18">
                  <c:v>62</c:v>
                </c:pt>
                <c:pt idx="19">
                  <c:v>61</c:v>
                </c:pt>
                <c:pt idx="20">
                  <c:v>61</c:v>
                </c:pt>
                <c:pt idx="21">
                  <c:v>61</c:v>
                </c:pt>
                <c:pt idx="22">
                  <c:v>61</c:v>
                </c:pt>
                <c:pt idx="23">
                  <c:v>60</c:v>
                </c:pt>
                <c:pt idx="24">
                  <c:v>59</c:v>
                </c:pt>
                <c:pt idx="25">
                  <c:v>61</c:v>
                </c:pt>
                <c:pt idx="26">
                  <c:v>62</c:v>
                </c:pt>
                <c:pt idx="27">
                  <c:v>61</c:v>
                </c:pt>
                <c:pt idx="28">
                  <c:v>64</c:v>
                </c:pt>
                <c:pt idx="29">
                  <c:v>65</c:v>
                </c:pt>
                <c:pt idx="30">
                  <c:v>66</c:v>
                </c:pt>
                <c:pt idx="31">
                  <c:v>66</c:v>
                </c:pt>
                <c:pt idx="32">
                  <c:v>66</c:v>
                </c:pt>
                <c:pt idx="33">
                  <c:v>65</c:v>
                </c:pt>
                <c:pt idx="34">
                  <c:v>64</c:v>
                </c:pt>
                <c:pt idx="35">
                  <c:v>63</c:v>
                </c:pt>
                <c:pt idx="36">
                  <c:v>62</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60</c:v>
                </c:pt>
                <c:pt idx="1">
                  <c:v>59</c:v>
                </c:pt>
                <c:pt idx="2">
                  <c:v>58</c:v>
                </c:pt>
                <c:pt idx="3">
                  <c:v>57</c:v>
                </c:pt>
                <c:pt idx="4">
                  <c:v>57</c:v>
                </c:pt>
                <c:pt idx="5">
                  <c:v>58</c:v>
                </c:pt>
                <c:pt idx="6">
                  <c:v>58</c:v>
                </c:pt>
                <c:pt idx="7">
                  <c:v>53</c:v>
                </c:pt>
                <c:pt idx="8">
                  <c:v>55</c:v>
                </c:pt>
                <c:pt idx="9">
                  <c:v>55</c:v>
                </c:pt>
                <c:pt idx="10">
                  <c:v>55</c:v>
                </c:pt>
                <c:pt idx="11">
                  <c:v>56</c:v>
                </c:pt>
                <c:pt idx="12">
                  <c:v>53</c:v>
                </c:pt>
                <c:pt idx="13">
                  <c:v>54</c:v>
                </c:pt>
                <c:pt idx="14">
                  <c:v>54</c:v>
                </c:pt>
                <c:pt idx="15">
                  <c:v>54</c:v>
                </c:pt>
                <c:pt idx="16">
                  <c:v>55</c:v>
                </c:pt>
                <c:pt idx="17">
                  <c:v>56</c:v>
                </c:pt>
                <c:pt idx="18">
                  <c:v>55</c:v>
                </c:pt>
                <c:pt idx="19">
                  <c:v>55</c:v>
                </c:pt>
                <c:pt idx="20">
                  <c:v>55</c:v>
                </c:pt>
                <c:pt idx="21">
                  <c:v>55</c:v>
                </c:pt>
                <c:pt idx="22">
                  <c:v>55</c:v>
                </c:pt>
                <c:pt idx="23">
                  <c:v>55</c:v>
                </c:pt>
                <c:pt idx="24">
                  <c:v>55</c:v>
                </c:pt>
                <c:pt idx="25">
                  <c:v>56</c:v>
                </c:pt>
                <c:pt idx="26">
                  <c:v>56</c:v>
                </c:pt>
                <c:pt idx="27">
                  <c:v>56</c:v>
                </c:pt>
                <c:pt idx="28">
                  <c:v>57</c:v>
                </c:pt>
                <c:pt idx="29">
                  <c:v>58</c:v>
                </c:pt>
                <c:pt idx="30">
                  <c:v>58</c:v>
                </c:pt>
                <c:pt idx="31">
                  <c:v>59</c:v>
                </c:pt>
                <c:pt idx="32">
                  <c:v>59</c:v>
                </c:pt>
                <c:pt idx="33">
                  <c:v>61</c:v>
                </c:pt>
                <c:pt idx="34">
                  <c:v>60</c:v>
                </c:pt>
                <c:pt idx="35">
                  <c:v>60</c:v>
                </c:pt>
                <c:pt idx="36">
                  <c:v>59</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57</c:v>
                </c:pt>
                <c:pt idx="1">
                  <c:v>56</c:v>
                </c:pt>
                <c:pt idx="2">
                  <c:v>56</c:v>
                </c:pt>
                <c:pt idx="3">
                  <c:v>55</c:v>
                </c:pt>
                <c:pt idx="4">
                  <c:v>55</c:v>
                </c:pt>
                <c:pt idx="5">
                  <c:v>56</c:v>
                </c:pt>
                <c:pt idx="6">
                  <c:v>56</c:v>
                </c:pt>
                <c:pt idx="7">
                  <c:v>51</c:v>
                </c:pt>
                <c:pt idx="8">
                  <c:v>52</c:v>
                </c:pt>
                <c:pt idx="9">
                  <c:v>52</c:v>
                </c:pt>
                <c:pt idx="10">
                  <c:v>53</c:v>
                </c:pt>
                <c:pt idx="11">
                  <c:v>52</c:v>
                </c:pt>
                <c:pt idx="12">
                  <c:v>50</c:v>
                </c:pt>
                <c:pt idx="13">
                  <c:v>50</c:v>
                </c:pt>
                <c:pt idx="14">
                  <c:v>50</c:v>
                </c:pt>
                <c:pt idx="15">
                  <c:v>50</c:v>
                </c:pt>
                <c:pt idx="16">
                  <c:v>51</c:v>
                </c:pt>
                <c:pt idx="17">
                  <c:v>51</c:v>
                </c:pt>
                <c:pt idx="18">
                  <c:v>51</c:v>
                </c:pt>
                <c:pt idx="19">
                  <c:v>51</c:v>
                </c:pt>
                <c:pt idx="20">
                  <c:v>52</c:v>
                </c:pt>
                <c:pt idx="21">
                  <c:v>52</c:v>
                </c:pt>
                <c:pt idx="22">
                  <c:v>52</c:v>
                </c:pt>
                <c:pt idx="23">
                  <c:v>53</c:v>
                </c:pt>
                <c:pt idx="24">
                  <c:v>53</c:v>
                </c:pt>
                <c:pt idx="25">
                  <c:v>54</c:v>
                </c:pt>
                <c:pt idx="26">
                  <c:v>54</c:v>
                </c:pt>
                <c:pt idx="27">
                  <c:v>55</c:v>
                </c:pt>
                <c:pt idx="28">
                  <c:v>55</c:v>
                </c:pt>
                <c:pt idx="29">
                  <c:v>56</c:v>
                </c:pt>
                <c:pt idx="30">
                  <c:v>56</c:v>
                </c:pt>
                <c:pt idx="31">
                  <c:v>56</c:v>
                </c:pt>
                <c:pt idx="32">
                  <c:v>57</c:v>
                </c:pt>
                <c:pt idx="33">
                  <c:v>59</c:v>
                </c:pt>
                <c:pt idx="34">
                  <c:v>59</c:v>
                </c:pt>
                <c:pt idx="35">
                  <c:v>59</c:v>
                </c:pt>
                <c:pt idx="36">
                  <c:v>59</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59</c:v>
                </c:pt>
                <c:pt idx="1">
                  <c:v>60</c:v>
                </c:pt>
                <c:pt idx="2">
                  <c:v>60</c:v>
                </c:pt>
                <c:pt idx="3">
                  <c:v>58</c:v>
                </c:pt>
                <c:pt idx="4">
                  <c:v>58</c:v>
                </c:pt>
                <c:pt idx="5">
                  <c:v>66</c:v>
                </c:pt>
                <c:pt idx="6">
                  <c:v>68</c:v>
                </c:pt>
                <c:pt idx="7">
                  <c:v>62</c:v>
                </c:pt>
                <c:pt idx="8">
                  <c:v>59</c:v>
                </c:pt>
                <c:pt idx="9">
                  <c:v>61</c:v>
                </c:pt>
                <c:pt idx="10">
                  <c:v>56</c:v>
                </c:pt>
                <c:pt idx="11">
                  <c:v>60</c:v>
                </c:pt>
                <c:pt idx="12">
                  <c:v>53</c:v>
                </c:pt>
                <c:pt idx="13">
                  <c:v>54</c:v>
                </c:pt>
                <c:pt idx="14">
                  <c:v>55</c:v>
                </c:pt>
                <c:pt idx="15">
                  <c:v>56</c:v>
                </c:pt>
                <c:pt idx="16">
                  <c:v>61</c:v>
                </c:pt>
                <c:pt idx="17">
                  <c:v>58</c:v>
                </c:pt>
                <c:pt idx="18">
                  <c:v>59</c:v>
                </c:pt>
                <c:pt idx="19">
                  <c:v>56</c:v>
                </c:pt>
                <c:pt idx="20">
                  <c:v>55</c:v>
                </c:pt>
                <c:pt idx="21">
                  <c:v>51</c:v>
                </c:pt>
                <c:pt idx="22">
                  <c:v>53</c:v>
                </c:pt>
                <c:pt idx="23">
                  <c:v>41</c:v>
                </c:pt>
                <c:pt idx="24">
                  <c:v>48</c:v>
                </c:pt>
                <c:pt idx="25">
                  <c:v>47</c:v>
                </c:pt>
                <c:pt idx="26">
                  <c:v>51</c:v>
                </c:pt>
                <c:pt idx="27">
                  <c:v>47</c:v>
                </c:pt>
                <c:pt idx="28">
                  <c:v>46</c:v>
                </c:pt>
                <c:pt idx="29">
                  <c:v>52</c:v>
                </c:pt>
                <c:pt idx="30">
                  <c:v>51</c:v>
                </c:pt>
                <c:pt idx="31">
                  <c:v>52</c:v>
                </c:pt>
                <c:pt idx="32">
                  <c:v>43</c:v>
                </c:pt>
                <c:pt idx="33">
                  <c:v>45</c:v>
                </c:pt>
                <c:pt idx="34">
                  <c:v>46</c:v>
                </c:pt>
                <c:pt idx="35">
                  <c:v>52</c:v>
                </c:pt>
                <c:pt idx="36">
                  <c:v>51</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66</c:v>
                </c:pt>
                <c:pt idx="1">
                  <c:v>65</c:v>
                </c:pt>
                <c:pt idx="2">
                  <c:v>64</c:v>
                </c:pt>
                <c:pt idx="3">
                  <c:v>61</c:v>
                </c:pt>
                <c:pt idx="4">
                  <c:v>62</c:v>
                </c:pt>
                <c:pt idx="5">
                  <c:v>65</c:v>
                </c:pt>
                <c:pt idx="6">
                  <c:v>66</c:v>
                </c:pt>
                <c:pt idx="7">
                  <c:v>61</c:v>
                </c:pt>
                <c:pt idx="8">
                  <c:v>62</c:v>
                </c:pt>
                <c:pt idx="9">
                  <c:v>62</c:v>
                </c:pt>
                <c:pt idx="10">
                  <c:v>61</c:v>
                </c:pt>
                <c:pt idx="11">
                  <c:v>65</c:v>
                </c:pt>
                <c:pt idx="12">
                  <c:v>60</c:v>
                </c:pt>
                <c:pt idx="13">
                  <c:v>60</c:v>
                </c:pt>
                <c:pt idx="14">
                  <c:v>61</c:v>
                </c:pt>
                <c:pt idx="15">
                  <c:v>60</c:v>
                </c:pt>
                <c:pt idx="16">
                  <c:v>64</c:v>
                </c:pt>
                <c:pt idx="17">
                  <c:v>64</c:v>
                </c:pt>
                <c:pt idx="18">
                  <c:v>62</c:v>
                </c:pt>
                <c:pt idx="19">
                  <c:v>62</c:v>
                </c:pt>
                <c:pt idx="20">
                  <c:v>63</c:v>
                </c:pt>
                <c:pt idx="21">
                  <c:v>63</c:v>
                </c:pt>
                <c:pt idx="22">
                  <c:v>61</c:v>
                </c:pt>
                <c:pt idx="23">
                  <c:v>61</c:v>
                </c:pt>
                <c:pt idx="24">
                  <c:v>60</c:v>
                </c:pt>
                <c:pt idx="25">
                  <c:v>60</c:v>
                </c:pt>
                <c:pt idx="26">
                  <c:v>60</c:v>
                </c:pt>
                <c:pt idx="27">
                  <c:v>60</c:v>
                </c:pt>
                <c:pt idx="28">
                  <c:v>61</c:v>
                </c:pt>
                <c:pt idx="29">
                  <c:v>61</c:v>
                </c:pt>
                <c:pt idx="30">
                  <c:v>61</c:v>
                </c:pt>
                <c:pt idx="31">
                  <c:v>61</c:v>
                </c:pt>
                <c:pt idx="32">
                  <c:v>62</c:v>
                </c:pt>
                <c:pt idx="33">
                  <c:v>62</c:v>
                </c:pt>
                <c:pt idx="34">
                  <c:v>63</c:v>
                </c:pt>
                <c:pt idx="35">
                  <c:v>63</c:v>
                </c:pt>
                <c:pt idx="36">
                  <c:v>62</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66</c:v>
                </c:pt>
                <c:pt idx="1">
                  <c:v>65</c:v>
                </c:pt>
                <c:pt idx="2">
                  <c:v>64</c:v>
                </c:pt>
                <c:pt idx="3">
                  <c:v>62</c:v>
                </c:pt>
                <c:pt idx="4">
                  <c:v>63</c:v>
                </c:pt>
                <c:pt idx="5">
                  <c:v>65</c:v>
                </c:pt>
                <c:pt idx="6">
                  <c:v>65</c:v>
                </c:pt>
                <c:pt idx="7">
                  <c:v>60</c:v>
                </c:pt>
                <c:pt idx="8">
                  <c:v>60</c:v>
                </c:pt>
                <c:pt idx="9">
                  <c:v>61</c:v>
                </c:pt>
                <c:pt idx="10">
                  <c:v>60</c:v>
                </c:pt>
                <c:pt idx="11">
                  <c:v>62</c:v>
                </c:pt>
                <c:pt idx="12">
                  <c:v>58</c:v>
                </c:pt>
                <c:pt idx="13">
                  <c:v>58</c:v>
                </c:pt>
                <c:pt idx="14">
                  <c:v>59</c:v>
                </c:pt>
                <c:pt idx="15">
                  <c:v>59</c:v>
                </c:pt>
                <c:pt idx="16">
                  <c:v>61</c:v>
                </c:pt>
                <c:pt idx="17">
                  <c:v>61</c:v>
                </c:pt>
                <c:pt idx="18">
                  <c:v>60</c:v>
                </c:pt>
                <c:pt idx="19">
                  <c:v>60</c:v>
                </c:pt>
                <c:pt idx="20">
                  <c:v>61</c:v>
                </c:pt>
                <c:pt idx="21">
                  <c:v>61</c:v>
                </c:pt>
                <c:pt idx="22">
                  <c:v>59</c:v>
                </c:pt>
                <c:pt idx="23">
                  <c:v>60</c:v>
                </c:pt>
                <c:pt idx="24">
                  <c:v>59</c:v>
                </c:pt>
                <c:pt idx="25">
                  <c:v>60</c:v>
                </c:pt>
                <c:pt idx="26">
                  <c:v>60</c:v>
                </c:pt>
                <c:pt idx="27">
                  <c:v>61</c:v>
                </c:pt>
                <c:pt idx="28">
                  <c:v>61</c:v>
                </c:pt>
                <c:pt idx="29">
                  <c:v>61</c:v>
                </c:pt>
                <c:pt idx="30">
                  <c:v>62</c:v>
                </c:pt>
                <c:pt idx="31">
                  <c:v>62</c:v>
                </c:pt>
                <c:pt idx="32">
                  <c:v>62</c:v>
                </c:pt>
                <c:pt idx="33">
                  <c:v>64</c:v>
                </c:pt>
                <c:pt idx="34">
                  <c:v>65</c:v>
                </c:pt>
                <c:pt idx="35">
                  <c:v>65</c:v>
                </c:pt>
                <c:pt idx="36">
                  <c:v>64</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61</c:v>
                </c:pt>
                <c:pt idx="1">
                  <c:v>61</c:v>
                </c:pt>
                <c:pt idx="2">
                  <c:v>61</c:v>
                </c:pt>
                <c:pt idx="3">
                  <c:v>59</c:v>
                </c:pt>
                <c:pt idx="4">
                  <c:v>60</c:v>
                </c:pt>
                <c:pt idx="5">
                  <c:v>62</c:v>
                </c:pt>
                <c:pt idx="6">
                  <c:v>62</c:v>
                </c:pt>
                <c:pt idx="7">
                  <c:v>57</c:v>
                </c:pt>
                <c:pt idx="8">
                  <c:v>58</c:v>
                </c:pt>
                <c:pt idx="9">
                  <c:v>58</c:v>
                </c:pt>
                <c:pt idx="10">
                  <c:v>58</c:v>
                </c:pt>
                <c:pt idx="11">
                  <c:v>60</c:v>
                </c:pt>
                <c:pt idx="12">
                  <c:v>55</c:v>
                </c:pt>
                <c:pt idx="13">
                  <c:v>55</c:v>
                </c:pt>
                <c:pt idx="14">
                  <c:v>56</c:v>
                </c:pt>
                <c:pt idx="15">
                  <c:v>56</c:v>
                </c:pt>
                <c:pt idx="16">
                  <c:v>58</c:v>
                </c:pt>
                <c:pt idx="17">
                  <c:v>58</c:v>
                </c:pt>
                <c:pt idx="18">
                  <c:v>57</c:v>
                </c:pt>
                <c:pt idx="19">
                  <c:v>57</c:v>
                </c:pt>
                <c:pt idx="20">
                  <c:v>59</c:v>
                </c:pt>
                <c:pt idx="21">
                  <c:v>58</c:v>
                </c:pt>
                <c:pt idx="22">
                  <c:v>58</c:v>
                </c:pt>
                <c:pt idx="23">
                  <c:v>59</c:v>
                </c:pt>
                <c:pt idx="24">
                  <c:v>59</c:v>
                </c:pt>
                <c:pt idx="25">
                  <c:v>60</c:v>
                </c:pt>
                <c:pt idx="26">
                  <c:v>61</c:v>
                </c:pt>
                <c:pt idx="27">
                  <c:v>61</c:v>
                </c:pt>
                <c:pt idx="28">
                  <c:v>61</c:v>
                </c:pt>
                <c:pt idx="29">
                  <c:v>62</c:v>
                </c:pt>
                <c:pt idx="30">
                  <c:v>62</c:v>
                </c:pt>
                <c:pt idx="31">
                  <c:v>62</c:v>
                </c:pt>
                <c:pt idx="32">
                  <c:v>63</c:v>
                </c:pt>
                <c:pt idx="33">
                  <c:v>65</c:v>
                </c:pt>
                <c:pt idx="34">
                  <c:v>66</c:v>
                </c:pt>
                <c:pt idx="35">
                  <c:v>66</c:v>
                </c:pt>
                <c:pt idx="36">
                  <c:v>66</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89</c:v>
                </c:pt>
                <c:pt idx="1">
                  <c:v>90</c:v>
                </c:pt>
                <c:pt idx="2">
                  <c:v>89</c:v>
                </c:pt>
                <c:pt idx="3">
                  <c:v>85</c:v>
                </c:pt>
                <c:pt idx="4">
                  <c:v>82</c:v>
                </c:pt>
                <c:pt idx="5">
                  <c:v>84</c:v>
                </c:pt>
                <c:pt idx="6">
                  <c:v>82</c:v>
                </c:pt>
                <c:pt idx="7">
                  <c:v>83</c:v>
                </c:pt>
                <c:pt idx="8">
                  <c:v>83</c:v>
                </c:pt>
                <c:pt idx="9">
                  <c:v>84</c:v>
                </c:pt>
                <c:pt idx="10">
                  <c:v>83</c:v>
                </c:pt>
                <c:pt idx="11">
                  <c:v>82</c:v>
                </c:pt>
                <c:pt idx="12">
                  <c:v>82</c:v>
                </c:pt>
                <c:pt idx="13">
                  <c:v>82</c:v>
                </c:pt>
                <c:pt idx="14">
                  <c:v>83</c:v>
                </c:pt>
                <c:pt idx="15">
                  <c:v>82</c:v>
                </c:pt>
                <c:pt idx="16">
                  <c:v>80</c:v>
                </c:pt>
                <c:pt idx="17">
                  <c:v>81</c:v>
                </c:pt>
                <c:pt idx="18">
                  <c:v>82</c:v>
                </c:pt>
                <c:pt idx="19">
                  <c:v>82</c:v>
                </c:pt>
                <c:pt idx="20">
                  <c:v>79</c:v>
                </c:pt>
                <c:pt idx="21">
                  <c:v>80</c:v>
                </c:pt>
                <c:pt idx="22">
                  <c:v>79</c:v>
                </c:pt>
                <c:pt idx="23">
                  <c:v>73</c:v>
                </c:pt>
                <c:pt idx="24">
                  <c:v>79</c:v>
                </c:pt>
                <c:pt idx="25">
                  <c:v>81</c:v>
                </c:pt>
                <c:pt idx="26">
                  <c:v>82</c:v>
                </c:pt>
                <c:pt idx="27">
                  <c:v>82</c:v>
                </c:pt>
                <c:pt idx="28">
                  <c:v>82</c:v>
                </c:pt>
                <c:pt idx="29">
                  <c:v>82</c:v>
                </c:pt>
                <c:pt idx="30">
                  <c:v>82</c:v>
                </c:pt>
                <c:pt idx="31">
                  <c:v>83</c:v>
                </c:pt>
                <c:pt idx="32">
                  <c:v>83</c:v>
                </c:pt>
                <c:pt idx="33">
                  <c:v>82</c:v>
                </c:pt>
                <c:pt idx="34">
                  <c:v>81</c:v>
                </c:pt>
                <c:pt idx="35">
                  <c:v>80</c:v>
                </c:pt>
                <c:pt idx="36">
                  <c:v>81</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88</c:v>
                </c:pt>
                <c:pt idx="1">
                  <c:v>87</c:v>
                </c:pt>
                <c:pt idx="2">
                  <c:v>85</c:v>
                </c:pt>
                <c:pt idx="3">
                  <c:v>84</c:v>
                </c:pt>
                <c:pt idx="4">
                  <c:v>83</c:v>
                </c:pt>
                <c:pt idx="5">
                  <c:v>83</c:v>
                </c:pt>
                <c:pt idx="6">
                  <c:v>80</c:v>
                </c:pt>
                <c:pt idx="7">
                  <c:v>81</c:v>
                </c:pt>
                <c:pt idx="8">
                  <c:v>81</c:v>
                </c:pt>
                <c:pt idx="9">
                  <c:v>81</c:v>
                </c:pt>
                <c:pt idx="10">
                  <c:v>81</c:v>
                </c:pt>
                <c:pt idx="11">
                  <c:v>77</c:v>
                </c:pt>
                <c:pt idx="12">
                  <c:v>81</c:v>
                </c:pt>
                <c:pt idx="13">
                  <c:v>80</c:v>
                </c:pt>
                <c:pt idx="14">
                  <c:v>80</c:v>
                </c:pt>
                <c:pt idx="15">
                  <c:v>77</c:v>
                </c:pt>
                <c:pt idx="16">
                  <c:v>79</c:v>
                </c:pt>
                <c:pt idx="17">
                  <c:v>79</c:v>
                </c:pt>
                <c:pt idx="18">
                  <c:v>80</c:v>
                </c:pt>
                <c:pt idx="19">
                  <c:v>80</c:v>
                </c:pt>
                <c:pt idx="20">
                  <c:v>77</c:v>
                </c:pt>
                <c:pt idx="21">
                  <c:v>79</c:v>
                </c:pt>
                <c:pt idx="22">
                  <c:v>77</c:v>
                </c:pt>
                <c:pt idx="23">
                  <c:v>74</c:v>
                </c:pt>
                <c:pt idx="24">
                  <c:v>77</c:v>
                </c:pt>
                <c:pt idx="25">
                  <c:v>77</c:v>
                </c:pt>
                <c:pt idx="26">
                  <c:v>79</c:v>
                </c:pt>
                <c:pt idx="27">
                  <c:v>79</c:v>
                </c:pt>
                <c:pt idx="28">
                  <c:v>80</c:v>
                </c:pt>
                <c:pt idx="29">
                  <c:v>80</c:v>
                </c:pt>
                <c:pt idx="30">
                  <c:v>81</c:v>
                </c:pt>
                <c:pt idx="31">
                  <c:v>81</c:v>
                </c:pt>
                <c:pt idx="32">
                  <c:v>81</c:v>
                </c:pt>
                <c:pt idx="33">
                  <c:v>80</c:v>
                </c:pt>
                <c:pt idx="34">
                  <c:v>79</c:v>
                </c:pt>
                <c:pt idx="35">
                  <c:v>77</c:v>
                </c:pt>
                <c:pt idx="36">
                  <c:v>79</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85</c:v>
                </c:pt>
                <c:pt idx="1">
                  <c:v>83</c:v>
                </c:pt>
                <c:pt idx="2">
                  <c:v>82</c:v>
                </c:pt>
                <c:pt idx="3">
                  <c:v>82</c:v>
                </c:pt>
                <c:pt idx="4">
                  <c:v>79</c:v>
                </c:pt>
                <c:pt idx="5">
                  <c:v>81</c:v>
                </c:pt>
                <c:pt idx="6">
                  <c:v>74</c:v>
                </c:pt>
                <c:pt idx="7">
                  <c:v>59</c:v>
                </c:pt>
                <c:pt idx="8">
                  <c:v>56</c:v>
                </c:pt>
                <c:pt idx="9">
                  <c:v>54</c:v>
                </c:pt>
                <c:pt idx="10">
                  <c:v>54</c:v>
                </c:pt>
                <c:pt idx="11">
                  <c:v>59</c:v>
                </c:pt>
                <c:pt idx="12">
                  <c:v>61</c:v>
                </c:pt>
                <c:pt idx="13">
                  <c:v>57</c:v>
                </c:pt>
                <c:pt idx="14">
                  <c:v>58</c:v>
                </c:pt>
                <c:pt idx="15">
                  <c:v>63</c:v>
                </c:pt>
                <c:pt idx="16">
                  <c:v>61</c:v>
                </c:pt>
                <c:pt idx="17">
                  <c:v>61</c:v>
                </c:pt>
                <c:pt idx="18">
                  <c:v>62</c:v>
                </c:pt>
                <c:pt idx="19">
                  <c:v>61</c:v>
                </c:pt>
                <c:pt idx="20">
                  <c:v>61</c:v>
                </c:pt>
                <c:pt idx="21">
                  <c:v>62</c:v>
                </c:pt>
                <c:pt idx="22">
                  <c:v>62</c:v>
                </c:pt>
                <c:pt idx="23">
                  <c:v>61</c:v>
                </c:pt>
                <c:pt idx="24">
                  <c:v>62</c:v>
                </c:pt>
                <c:pt idx="25">
                  <c:v>62</c:v>
                </c:pt>
                <c:pt idx="26">
                  <c:v>62</c:v>
                </c:pt>
                <c:pt idx="27">
                  <c:v>61</c:v>
                </c:pt>
                <c:pt idx="28">
                  <c:v>64</c:v>
                </c:pt>
                <c:pt idx="29">
                  <c:v>64</c:v>
                </c:pt>
                <c:pt idx="30">
                  <c:v>65</c:v>
                </c:pt>
                <c:pt idx="31">
                  <c:v>65</c:v>
                </c:pt>
                <c:pt idx="32">
                  <c:v>65</c:v>
                </c:pt>
                <c:pt idx="33">
                  <c:v>73</c:v>
                </c:pt>
                <c:pt idx="34">
                  <c:v>68</c:v>
                </c:pt>
                <c:pt idx="35">
                  <c:v>68</c:v>
                </c:pt>
                <c:pt idx="36">
                  <c:v>69</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83</c:v>
                </c:pt>
                <c:pt idx="1">
                  <c:v>81</c:v>
                </c:pt>
                <c:pt idx="2">
                  <c:v>81</c:v>
                </c:pt>
                <c:pt idx="3">
                  <c:v>80</c:v>
                </c:pt>
                <c:pt idx="4">
                  <c:v>76</c:v>
                </c:pt>
                <c:pt idx="5">
                  <c:v>80</c:v>
                </c:pt>
                <c:pt idx="6">
                  <c:v>73</c:v>
                </c:pt>
                <c:pt idx="7">
                  <c:v>53</c:v>
                </c:pt>
                <c:pt idx="8">
                  <c:v>50</c:v>
                </c:pt>
                <c:pt idx="9">
                  <c:v>49</c:v>
                </c:pt>
                <c:pt idx="10">
                  <c:v>48</c:v>
                </c:pt>
                <c:pt idx="11">
                  <c:v>51</c:v>
                </c:pt>
                <c:pt idx="12">
                  <c:v>55</c:v>
                </c:pt>
                <c:pt idx="13">
                  <c:v>49</c:v>
                </c:pt>
                <c:pt idx="14">
                  <c:v>51</c:v>
                </c:pt>
                <c:pt idx="15">
                  <c:v>58</c:v>
                </c:pt>
                <c:pt idx="16">
                  <c:v>55</c:v>
                </c:pt>
                <c:pt idx="17">
                  <c:v>55</c:v>
                </c:pt>
                <c:pt idx="18">
                  <c:v>56</c:v>
                </c:pt>
                <c:pt idx="19">
                  <c:v>56</c:v>
                </c:pt>
                <c:pt idx="20">
                  <c:v>56</c:v>
                </c:pt>
                <c:pt idx="21">
                  <c:v>57</c:v>
                </c:pt>
                <c:pt idx="22">
                  <c:v>56</c:v>
                </c:pt>
                <c:pt idx="23">
                  <c:v>55</c:v>
                </c:pt>
                <c:pt idx="24">
                  <c:v>57</c:v>
                </c:pt>
                <c:pt idx="25">
                  <c:v>56</c:v>
                </c:pt>
                <c:pt idx="26">
                  <c:v>56</c:v>
                </c:pt>
                <c:pt idx="27">
                  <c:v>56</c:v>
                </c:pt>
                <c:pt idx="28">
                  <c:v>59</c:v>
                </c:pt>
                <c:pt idx="29">
                  <c:v>60</c:v>
                </c:pt>
                <c:pt idx="30">
                  <c:v>60</c:v>
                </c:pt>
                <c:pt idx="31">
                  <c:v>60</c:v>
                </c:pt>
                <c:pt idx="32">
                  <c:v>61</c:v>
                </c:pt>
                <c:pt idx="33">
                  <c:v>68</c:v>
                </c:pt>
                <c:pt idx="34">
                  <c:v>65</c:v>
                </c:pt>
                <c:pt idx="35">
                  <c:v>66</c:v>
                </c:pt>
                <c:pt idx="36">
                  <c:v>66</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81</c:v>
                </c:pt>
                <c:pt idx="1">
                  <c:v>81</c:v>
                </c:pt>
                <c:pt idx="2">
                  <c:v>80</c:v>
                </c:pt>
                <c:pt idx="3">
                  <c:v>64</c:v>
                </c:pt>
                <c:pt idx="4">
                  <c:v>64</c:v>
                </c:pt>
                <c:pt idx="5">
                  <c:v>70</c:v>
                </c:pt>
                <c:pt idx="6">
                  <c:v>72</c:v>
                </c:pt>
                <c:pt idx="7">
                  <c:v>81</c:v>
                </c:pt>
                <c:pt idx="8">
                  <c:v>82</c:v>
                </c:pt>
                <c:pt idx="9">
                  <c:v>83</c:v>
                </c:pt>
                <c:pt idx="10">
                  <c:v>82</c:v>
                </c:pt>
                <c:pt idx="11">
                  <c:v>82</c:v>
                </c:pt>
                <c:pt idx="12">
                  <c:v>82</c:v>
                </c:pt>
                <c:pt idx="13">
                  <c:v>81</c:v>
                </c:pt>
                <c:pt idx="14">
                  <c:v>82</c:v>
                </c:pt>
                <c:pt idx="15">
                  <c:v>80</c:v>
                </c:pt>
                <c:pt idx="16">
                  <c:v>78</c:v>
                </c:pt>
                <c:pt idx="17">
                  <c:v>80</c:v>
                </c:pt>
                <c:pt idx="18">
                  <c:v>82</c:v>
                </c:pt>
                <c:pt idx="19">
                  <c:v>82</c:v>
                </c:pt>
                <c:pt idx="20">
                  <c:v>82</c:v>
                </c:pt>
                <c:pt idx="21">
                  <c:v>82</c:v>
                </c:pt>
                <c:pt idx="22">
                  <c:v>81</c:v>
                </c:pt>
                <c:pt idx="23">
                  <c:v>80</c:v>
                </c:pt>
                <c:pt idx="24">
                  <c:v>80</c:v>
                </c:pt>
                <c:pt idx="25">
                  <c:v>80</c:v>
                </c:pt>
                <c:pt idx="26">
                  <c:v>82</c:v>
                </c:pt>
                <c:pt idx="27">
                  <c:v>81</c:v>
                </c:pt>
                <c:pt idx="28">
                  <c:v>82</c:v>
                </c:pt>
                <c:pt idx="29">
                  <c:v>82</c:v>
                </c:pt>
                <c:pt idx="30">
                  <c:v>82</c:v>
                </c:pt>
                <c:pt idx="31">
                  <c:v>82</c:v>
                </c:pt>
                <c:pt idx="32">
                  <c:v>82</c:v>
                </c:pt>
                <c:pt idx="33">
                  <c:v>80</c:v>
                </c:pt>
                <c:pt idx="34">
                  <c:v>81</c:v>
                </c:pt>
                <c:pt idx="35">
                  <c:v>80</c:v>
                </c:pt>
                <c:pt idx="36">
                  <c:v>80</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76</c:v>
                </c:pt>
                <c:pt idx="1">
                  <c:v>74</c:v>
                </c:pt>
                <c:pt idx="2">
                  <c:v>66</c:v>
                </c:pt>
                <c:pt idx="3">
                  <c:v>60</c:v>
                </c:pt>
                <c:pt idx="4">
                  <c:v>62</c:v>
                </c:pt>
                <c:pt idx="5">
                  <c:v>68</c:v>
                </c:pt>
                <c:pt idx="6">
                  <c:v>64</c:v>
                </c:pt>
                <c:pt idx="7">
                  <c:v>74</c:v>
                </c:pt>
                <c:pt idx="8">
                  <c:v>76</c:v>
                </c:pt>
                <c:pt idx="9">
                  <c:v>76</c:v>
                </c:pt>
                <c:pt idx="10">
                  <c:v>72</c:v>
                </c:pt>
                <c:pt idx="11">
                  <c:v>76</c:v>
                </c:pt>
                <c:pt idx="12">
                  <c:v>76</c:v>
                </c:pt>
                <c:pt idx="13">
                  <c:v>76</c:v>
                </c:pt>
                <c:pt idx="14">
                  <c:v>76</c:v>
                </c:pt>
                <c:pt idx="15">
                  <c:v>70</c:v>
                </c:pt>
                <c:pt idx="16">
                  <c:v>70</c:v>
                </c:pt>
                <c:pt idx="17">
                  <c:v>70</c:v>
                </c:pt>
                <c:pt idx="18">
                  <c:v>75</c:v>
                </c:pt>
                <c:pt idx="19">
                  <c:v>74</c:v>
                </c:pt>
                <c:pt idx="20">
                  <c:v>74</c:v>
                </c:pt>
                <c:pt idx="21">
                  <c:v>73</c:v>
                </c:pt>
                <c:pt idx="22">
                  <c:v>72</c:v>
                </c:pt>
                <c:pt idx="23">
                  <c:v>72</c:v>
                </c:pt>
                <c:pt idx="24">
                  <c:v>72</c:v>
                </c:pt>
                <c:pt idx="25">
                  <c:v>72</c:v>
                </c:pt>
                <c:pt idx="26">
                  <c:v>74</c:v>
                </c:pt>
                <c:pt idx="27">
                  <c:v>73</c:v>
                </c:pt>
                <c:pt idx="28">
                  <c:v>74</c:v>
                </c:pt>
                <c:pt idx="29">
                  <c:v>74</c:v>
                </c:pt>
                <c:pt idx="30">
                  <c:v>74</c:v>
                </c:pt>
                <c:pt idx="31">
                  <c:v>74</c:v>
                </c:pt>
                <c:pt idx="32">
                  <c:v>74</c:v>
                </c:pt>
                <c:pt idx="33">
                  <c:v>70</c:v>
                </c:pt>
                <c:pt idx="34">
                  <c:v>72</c:v>
                </c:pt>
                <c:pt idx="35">
                  <c:v>70</c:v>
                </c:pt>
                <c:pt idx="36">
                  <c:v>70</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66</c:v>
                </c:pt>
                <c:pt idx="1">
                  <c:v>62</c:v>
                </c:pt>
                <c:pt idx="2">
                  <c:v>56</c:v>
                </c:pt>
                <c:pt idx="3">
                  <c:v>54</c:v>
                </c:pt>
                <c:pt idx="4">
                  <c:v>54</c:v>
                </c:pt>
                <c:pt idx="5">
                  <c:v>60</c:v>
                </c:pt>
                <c:pt idx="6">
                  <c:v>59</c:v>
                </c:pt>
                <c:pt idx="7">
                  <c:v>57</c:v>
                </c:pt>
                <c:pt idx="8">
                  <c:v>57</c:v>
                </c:pt>
                <c:pt idx="9">
                  <c:v>56</c:v>
                </c:pt>
                <c:pt idx="10">
                  <c:v>55</c:v>
                </c:pt>
                <c:pt idx="11">
                  <c:v>58</c:v>
                </c:pt>
                <c:pt idx="12">
                  <c:v>59</c:v>
                </c:pt>
                <c:pt idx="13">
                  <c:v>58</c:v>
                </c:pt>
                <c:pt idx="14">
                  <c:v>58</c:v>
                </c:pt>
                <c:pt idx="15">
                  <c:v>57</c:v>
                </c:pt>
                <c:pt idx="16">
                  <c:v>56</c:v>
                </c:pt>
                <c:pt idx="17">
                  <c:v>57</c:v>
                </c:pt>
                <c:pt idx="18">
                  <c:v>59</c:v>
                </c:pt>
                <c:pt idx="19">
                  <c:v>59</c:v>
                </c:pt>
                <c:pt idx="20">
                  <c:v>59</c:v>
                </c:pt>
                <c:pt idx="21">
                  <c:v>59</c:v>
                </c:pt>
                <c:pt idx="22">
                  <c:v>58</c:v>
                </c:pt>
                <c:pt idx="23">
                  <c:v>58</c:v>
                </c:pt>
                <c:pt idx="24">
                  <c:v>58</c:v>
                </c:pt>
                <c:pt idx="25">
                  <c:v>58</c:v>
                </c:pt>
                <c:pt idx="26">
                  <c:v>57</c:v>
                </c:pt>
                <c:pt idx="27">
                  <c:v>58</c:v>
                </c:pt>
                <c:pt idx="28">
                  <c:v>58</c:v>
                </c:pt>
                <c:pt idx="29">
                  <c:v>57</c:v>
                </c:pt>
                <c:pt idx="30">
                  <c:v>58</c:v>
                </c:pt>
                <c:pt idx="31">
                  <c:v>58</c:v>
                </c:pt>
                <c:pt idx="32">
                  <c:v>59</c:v>
                </c:pt>
                <c:pt idx="33">
                  <c:v>60</c:v>
                </c:pt>
                <c:pt idx="34">
                  <c:v>62</c:v>
                </c:pt>
                <c:pt idx="35">
                  <c:v>62</c:v>
                </c:pt>
                <c:pt idx="36">
                  <c:v>62</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61</c:v>
                </c:pt>
                <c:pt idx="1">
                  <c:v>56</c:v>
                </c:pt>
                <c:pt idx="2">
                  <c:v>53</c:v>
                </c:pt>
                <c:pt idx="3">
                  <c:v>51</c:v>
                </c:pt>
                <c:pt idx="4">
                  <c:v>49</c:v>
                </c:pt>
                <c:pt idx="5">
                  <c:v>58</c:v>
                </c:pt>
                <c:pt idx="6">
                  <c:v>56</c:v>
                </c:pt>
                <c:pt idx="7">
                  <c:v>53</c:v>
                </c:pt>
                <c:pt idx="8">
                  <c:v>53</c:v>
                </c:pt>
                <c:pt idx="9">
                  <c:v>52</c:v>
                </c:pt>
                <c:pt idx="10">
                  <c:v>51</c:v>
                </c:pt>
                <c:pt idx="11">
                  <c:v>54</c:v>
                </c:pt>
                <c:pt idx="12">
                  <c:v>55</c:v>
                </c:pt>
                <c:pt idx="13">
                  <c:v>53</c:v>
                </c:pt>
                <c:pt idx="14">
                  <c:v>54</c:v>
                </c:pt>
                <c:pt idx="15">
                  <c:v>54</c:v>
                </c:pt>
                <c:pt idx="16">
                  <c:v>54</c:v>
                </c:pt>
                <c:pt idx="17">
                  <c:v>54</c:v>
                </c:pt>
                <c:pt idx="18">
                  <c:v>55</c:v>
                </c:pt>
                <c:pt idx="19">
                  <c:v>55</c:v>
                </c:pt>
                <c:pt idx="20">
                  <c:v>55</c:v>
                </c:pt>
                <c:pt idx="21">
                  <c:v>55</c:v>
                </c:pt>
                <c:pt idx="22">
                  <c:v>54</c:v>
                </c:pt>
                <c:pt idx="23">
                  <c:v>54</c:v>
                </c:pt>
                <c:pt idx="24">
                  <c:v>55</c:v>
                </c:pt>
                <c:pt idx="25">
                  <c:v>54</c:v>
                </c:pt>
                <c:pt idx="26">
                  <c:v>54</c:v>
                </c:pt>
                <c:pt idx="27">
                  <c:v>54</c:v>
                </c:pt>
                <c:pt idx="28">
                  <c:v>54</c:v>
                </c:pt>
                <c:pt idx="29">
                  <c:v>54</c:v>
                </c:pt>
                <c:pt idx="30">
                  <c:v>54</c:v>
                </c:pt>
                <c:pt idx="31">
                  <c:v>54</c:v>
                </c:pt>
                <c:pt idx="32">
                  <c:v>55</c:v>
                </c:pt>
                <c:pt idx="33">
                  <c:v>55</c:v>
                </c:pt>
                <c:pt idx="34">
                  <c:v>57</c:v>
                </c:pt>
                <c:pt idx="35">
                  <c:v>58</c:v>
                </c:pt>
                <c:pt idx="36">
                  <c:v>57</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1208500</c:v>
                </c:pt>
                <c:pt idx="1">
                  <c:v>1130300</c:v>
                </c:pt>
                <c:pt idx="2">
                  <c:v>1117400</c:v>
                </c:pt>
                <c:pt idx="3">
                  <c:v>896000</c:v>
                </c:pt>
                <c:pt idx="4">
                  <c:v>880000</c:v>
                </c:pt>
                <c:pt idx="5">
                  <c:v>1081700</c:v>
                </c:pt>
                <c:pt idx="6">
                  <c:v>1038400</c:v>
                </c:pt>
                <c:pt idx="7">
                  <c:v>1041400</c:v>
                </c:pt>
                <c:pt idx="8">
                  <c:v>1089100</c:v>
                </c:pt>
                <c:pt idx="9">
                  <c:v>1095000</c:v>
                </c:pt>
                <c:pt idx="10">
                  <c:v>1195400</c:v>
                </c:pt>
                <c:pt idx="11">
                  <c:v>1214500</c:v>
                </c:pt>
                <c:pt idx="12">
                  <c:v>1279700</c:v>
                </c:pt>
                <c:pt idx="13">
                  <c:v>1338900</c:v>
                </c:pt>
                <c:pt idx="14">
                  <c:v>1318500</c:v>
                </c:pt>
                <c:pt idx="15">
                  <c:v>1260800</c:v>
                </c:pt>
                <c:pt idx="16">
                  <c:v>1215900</c:v>
                </c:pt>
                <c:pt idx="17">
                  <c:v>1225300</c:v>
                </c:pt>
                <c:pt idx="18">
                  <c:v>1173000</c:v>
                </c:pt>
                <c:pt idx="19">
                  <c:v>1192900</c:v>
                </c:pt>
                <c:pt idx="20">
                  <c:v>1157800</c:v>
                </c:pt>
                <c:pt idx="21">
                  <c:v>1135200</c:v>
                </c:pt>
                <c:pt idx="22">
                  <c:v>1104400</c:v>
                </c:pt>
                <c:pt idx="23">
                  <c:v>1099700</c:v>
                </c:pt>
                <c:pt idx="24">
                  <c:v>1186000</c:v>
                </c:pt>
                <c:pt idx="25">
                  <c:v>1128900</c:v>
                </c:pt>
                <c:pt idx="26">
                  <c:v>1161200</c:v>
                </c:pt>
                <c:pt idx="27">
                  <c:v>1186300</c:v>
                </c:pt>
                <c:pt idx="28">
                  <c:v>1227100</c:v>
                </c:pt>
                <c:pt idx="29">
                  <c:v>1281600</c:v>
                </c:pt>
                <c:pt idx="30">
                  <c:v>1351100</c:v>
                </c:pt>
                <c:pt idx="31">
                  <c:v>1303700</c:v>
                </c:pt>
                <c:pt idx="32">
                  <c:v>1285500</c:v>
                </c:pt>
                <c:pt idx="33">
                  <c:v>1290900</c:v>
                </c:pt>
                <c:pt idx="34">
                  <c:v>1321500</c:v>
                </c:pt>
                <c:pt idx="35">
                  <c:v>1321600</c:v>
                </c:pt>
                <c:pt idx="36">
                  <c:v>1321700</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671891</c:v>
                </c:pt>
                <c:pt idx="1">
                  <c:v>664700</c:v>
                </c:pt>
                <c:pt idx="2">
                  <c:v>669681</c:v>
                </c:pt>
                <c:pt idx="3">
                  <c:v>668500</c:v>
                </c:pt>
                <c:pt idx="4">
                  <c:v>662650</c:v>
                </c:pt>
                <c:pt idx="5">
                  <c:v>655700</c:v>
                </c:pt>
                <c:pt idx="6">
                  <c:v>648184</c:v>
                </c:pt>
                <c:pt idx="7">
                  <c:v>635911</c:v>
                </c:pt>
                <c:pt idx="8">
                  <c:v>640982</c:v>
                </c:pt>
                <c:pt idx="9">
                  <c:v>646800</c:v>
                </c:pt>
                <c:pt idx="10">
                  <c:v>649954</c:v>
                </c:pt>
                <c:pt idx="11">
                  <c:v>654700</c:v>
                </c:pt>
                <c:pt idx="12">
                  <c:v>660400</c:v>
                </c:pt>
                <c:pt idx="13">
                  <c:v>658500</c:v>
                </c:pt>
                <c:pt idx="14">
                  <c:v>674900</c:v>
                </c:pt>
                <c:pt idx="15">
                  <c:v>688300</c:v>
                </c:pt>
                <c:pt idx="16">
                  <c:v>685500</c:v>
                </c:pt>
                <c:pt idx="17">
                  <c:v>689814</c:v>
                </c:pt>
                <c:pt idx="18">
                  <c:v>693615</c:v>
                </c:pt>
                <c:pt idx="19">
                  <c:v>694200</c:v>
                </c:pt>
                <c:pt idx="20">
                  <c:v>697600</c:v>
                </c:pt>
                <c:pt idx="21">
                  <c:v>695939</c:v>
                </c:pt>
                <c:pt idx="22">
                  <c:v>689650</c:v>
                </c:pt>
                <c:pt idx="23">
                  <c:v>689936</c:v>
                </c:pt>
                <c:pt idx="24">
                  <c:v>696100</c:v>
                </c:pt>
                <c:pt idx="25">
                  <c:v>688848</c:v>
                </c:pt>
                <c:pt idx="26">
                  <c:v>696700</c:v>
                </c:pt>
                <c:pt idx="27">
                  <c:v>713400</c:v>
                </c:pt>
                <c:pt idx="28">
                  <c:v>726700</c:v>
                </c:pt>
                <c:pt idx="29">
                  <c:v>739850</c:v>
                </c:pt>
                <c:pt idx="30">
                  <c:v>747000</c:v>
                </c:pt>
                <c:pt idx="31">
                  <c:v>747950</c:v>
                </c:pt>
                <c:pt idx="32">
                  <c:v>753200</c:v>
                </c:pt>
                <c:pt idx="33">
                  <c:v>761861</c:v>
                </c:pt>
                <c:pt idx="34">
                  <c:v>778800</c:v>
                </c:pt>
                <c:pt idx="35">
                  <c:v>785100</c:v>
                </c:pt>
                <c:pt idx="36">
                  <c:v>794800</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545950</c:v>
                </c:pt>
                <c:pt idx="1">
                  <c:v>534600</c:v>
                </c:pt>
                <c:pt idx="2">
                  <c:v>530207</c:v>
                </c:pt>
                <c:pt idx="3">
                  <c:v>525800</c:v>
                </c:pt>
                <c:pt idx="4">
                  <c:v>525062</c:v>
                </c:pt>
                <c:pt idx="5">
                  <c:v>539520</c:v>
                </c:pt>
                <c:pt idx="6">
                  <c:v>531400</c:v>
                </c:pt>
                <c:pt idx="7">
                  <c:v>490205</c:v>
                </c:pt>
                <c:pt idx="8">
                  <c:v>490214</c:v>
                </c:pt>
                <c:pt idx="9">
                  <c:v>500375</c:v>
                </c:pt>
                <c:pt idx="10">
                  <c:v>498096</c:v>
                </c:pt>
                <c:pt idx="11">
                  <c:v>508083</c:v>
                </c:pt>
                <c:pt idx="12">
                  <c:v>522024</c:v>
                </c:pt>
                <c:pt idx="13">
                  <c:v>508500</c:v>
                </c:pt>
                <c:pt idx="14">
                  <c:v>519449</c:v>
                </c:pt>
                <c:pt idx="15">
                  <c:v>537317</c:v>
                </c:pt>
                <c:pt idx="16">
                  <c:v>535100</c:v>
                </c:pt>
                <c:pt idx="17">
                  <c:v>538668</c:v>
                </c:pt>
                <c:pt idx="18">
                  <c:v>545450</c:v>
                </c:pt>
                <c:pt idx="19">
                  <c:v>550318</c:v>
                </c:pt>
                <c:pt idx="20">
                  <c:v>551600</c:v>
                </c:pt>
                <c:pt idx="21">
                  <c:v>551800</c:v>
                </c:pt>
                <c:pt idx="22">
                  <c:v>552397</c:v>
                </c:pt>
                <c:pt idx="23">
                  <c:v>551300</c:v>
                </c:pt>
                <c:pt idx="24">
                  <c:v>557350</c:v>
                </c:pt>
                <c:pt idx="25">
                  <c:v>562050</c:v>
                </c:pt>
                <c:pt idx="26">
                  <c:v>568853</c:v>
                </c:pt>
                <c:pt idx="27">
                  <c:v>573700</c:v>
                </c:pt>
                <c:pt idx="28">
                  <c:v>588700</c:v>
                </c:pt>
                <c:pt idx="29">
                  <c:v>598600</c:v>
                </c:pt>
                <c:pt idx="30">
                  <c:v>609977</c:v>
                </c:pt>
                <c:pt idx="31">
                  <c:v>619657</c:v>
                </c:pt>
                <c:pt idx="32">
                  <c:v>621489</c:v>
                </c:pt>
                <c:pt idx="33">
                  <c:v>649100</c:v>
                </c:pt>
                <c:pt idx="34">
                  <c:v>656800</c:v>
                </c:pt>
                <c:pt idx="35">
                  <c:v>667200</c:v>
                </c:pt>
                <c:pt idx="36">
                  <c:v>670700</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497400</c:v>
                </c:pt>
                <c:pt idx="1">
                  <c:v>478600</c:v>
                </c:pt>
                <c:pt idx="2">
                  <c:v>478681</c:v>
                </c:pt>
                <c:pt idx="3">
                  <c:v>474450</c:v>
                </c:pt>
                <c:pt idx="4">
                  <c:v>472758</c:v>
                </c:pt>
                <c:pt idx="5">
                  <c:v>483000</c:v>
                </c:pt>
                <c:pt idx="6">
                  <c:v>481022</c:v>
                </c:pt>
                <c:pt idx="7">
                  <c:v>436567</c:v>
                </c:pt>
                <c:pt idx="8">
                  <c:v>438500</c:v>
                </c:pt>
                <c:pt idx="9">
                  <c:v>437376</c:v>
                </c:pt>
                <c:pt idx="10">
                  <c:v>435971</c:v>
                </c:pt>
                <c:pt idx="11">
                  <c:v>440628</c:v>
                </c:pt>
                <c:pt idx="12">
                  <c:v>444774</c:v>
                </c:pt>
                <c:pt idx="13">
                  <c:v>443400</c:v>
                </c:pt>
                <c:pt idx="14">
                  <c:v>451035</c:v>
                </c:pt>
                <c:pt idx="15">
                  <c:v>459157</c:v>
                </c:pt>
                <c:pt idx="16">
                  <c:v>456271</c:v>
                </c:pt>
                <c:pt idx="17">
                  <c:v>460700</c:v>
                </c:pt>
                <c:pt idx="18">
                  <c:v>464000</c:v>
                </c:pt>
                <c:pt idx="19">
                  <c:v>467058</c:v>
                </c:pt>
                <c:pt idx="20">
                  <c:v>472294</c:v>
                </c:pt>
                <c:pt idx="21">
                  <c:v>473869</c:v>
                </c:pt>
                <c:pt idx="22">
                  <c:v>475084</c:v>
                </c:pt>
                <c:pt idx="23">
                  <c:v>474068</c:v>
                </c:pt>
                <c:pt idx="24">
                  <c:v>477200</c:v>
                </c:pt>
                <c:pt idx="25">
                  <c:v>479800</c:v>
                </c:pt>
                <c:pt idx="26">
                  <c:v>484602</c:v>
                </c:pt>
                <c:pt idx="27">
                  <c:v>493100</c:v>
                </c:pt>
                <c:pt idx="28">
                  <c:v>499984</c:v>
                </c:pt>
                <c:pt idx="29">
                  <c:v>509550</c:v>
                </c:pt>
                <c:pt idx="30">
                  <c:v>518054</c:v>
                </c:pt>
                <c:pt idx="31">
                  <c:v>529700</c:v>
                </c:pt>
                <c:pt idx="32">
                  <c:v>538650</c:v>
                </c:pt>
                <c:pt idx="33">
                  <c:v>592415</c:v>
                </c:pt>
                <c:pt idx="34">
                  <c:v>601700</c:v>
                </c:pt>
                <c:pt idx="35">
                  <c:v>608200</c:v>
                </c:pt>
                <c:pt idx="36">
                  <c:v>614600</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GB" sz="1000"/>
              <a:t>Migration 5 years</a:t>
            </a:r>
          </a:p>
        </c:rich>
      </c:tx>
      <c:layout>
        <c:manualLayout>
          <c:xMode val="edge"/>
          <c:yMode val="edge"/>
          <c:x val="0.71775221408426337"/>
          <c:y val="3.5543061225810201E-3"/>
        </c:manualLayout>
      </c:layout>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1.3041576324698543E-2"/>
          <c:y val="7.11044740097143E-2"/>
          <c:w val="0.98695842367530151"/>
          <c:h val="0.91448788728995078"/>
        </c:manualLayout>
      </c:layout>
      <c:doughnutChart>
        <c:varyColors val="1"/>
        <c:ser>
          <c:idx val="0"/>
          <c:order val="0"/>
          <c:tx>
            <c:strRef>
              <c:f>AOPChartSheet_chart4!$B$1</c:f>
              <c:strCache>
                <c:ptCount val="1"/>
                <c:pt idx="0">
                  <c:v>Series1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8F48-4FFE-93A6-F8DB04F6676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8F48-4FFE-93A6-F8DB04F66761}"/>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8F48-4FFE-93A6-F8DB04F66761}"/>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8F48-4FFE-93A6-F8DB04F66761}"/>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AOPChartSheet_chart4!$A$2:$A$3</c:f>
              <c:strCache>
                <c:ptCount val="2"/>
                <c:pt idx="0">
                  <c:v>Same address</c:v>
                </c:pt>
                <c:pt idx="1">
                  <c:v>Different address</c:v>
                </c:pt>
              </c:strCache>
            </c:strRef>
          </c:cat>
          <c:val>
            <c:numRef>
              <c:f>AOPChartSheet_chart4!$B$2:$B$3</c:f>
              <c:numCache>
                <c:formatCode>General</c:formatCode>
                <c:ptCount val="2"/>
                <c:pt idx="0">
                  <c:v>3912</c:v>
                </c:pt>
                <c:pt idx="1">
                  <c:v>8671</c:v>
                </c:pt>
              </c:numCache>
            </c:numRef>
          </c:val>
          <c:extLst>
            <c:ext xmlns:c16="http://schemas.microsoft.com/office/drawing/2014/chart" uri="{C3380CC4-5D6E-409C-BE32-E72D297353CC}">
              <c16:uniqueId val="{00000008-8F48-4FFE-93A6-F8DB04F66761}"/>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AOPChartSheet_chart4!$A$2:$A$36</c:f>
              <c:strCache>
                <c:ptCount val="35"/>
                <c:pt idx="0">
                  <c:v>2018-10</c:v>
                </c:pt>
                <c:pt idx="1">
                  <c:v>2018-11</c:v>
                </c:pt>
                <c:pt idx="2">
                  <c:v>2018-12</c:v>
                </c:pt>
                <c:pt idx="3">
                  <c:v>2019-03</c:v>
                </c:pt>
                <c:pt idx="4">
                  <c:v>2019-04</c:v>
                </c:pt>
                <c:pt idx="5">
                  <c:v>2019-05</c:v>
                </c:pt>
                <c:pt idx="6">
                  <c:v>2019-06</c:v>
                </c:pt>
                <c:pt idx="7">
                  <c:v>2019-07</c:v>
                </c:pt>
                <c:pt idx="8">
                  <c:v>2019-08</c:v>
                </c:pt>
                <c:pt idx="9">
                  <c:v>2019-09</c:v>
                </c:pt>
                <c:pt idx="10">
                  <c:v>2019-10</c:v>
                </c:pt>
                <c:pt idx="11">
                  <c:v>2019-11</c:v>
                </c:pt>
                <c:pt idx="12">
                  <c:v>2019-12</c:v>
                </c:pt>
                <c:pt idx="13">
                  <c:v>2020-01</c:v>
                </c:pt>
                <c:pt idx="14">
                  <c:v>2020-02</c:v>
                </c:pt>
                <c:pt idx="15">
                  <c:v>2020-03</c:v>
                </c:pt>
                <c:pt idx="16">
                  <c:v>2020-04</c:v>
                </c:pt>
                <c:pt idx="17">
                  <c:v>2020-05</c:v>
                </c:pt>
                <c:pt idx="18">
                  <c:v>2020-06</c:v>
                </c:pt>
                <c:pt idx="19">
                  <c:v>2020-07</c:v>
                </c:pt>
                <c:pt idx="20">
                  <c:v>2020-08</c:v>
                </c:pt>
                <c:pt idx="21">
                  <c:v>2020-09</c:v>
                </c:pt>
                <c:pt idx="22">
                  <c:v>2020-10</c:v>
                </c:pt>
                <c:pt idx="23">
                  <c:v>2020-11</c:v>
                </c:pt>
                <c:pt idx="24">
                  <c:v>2020-12</c:v>
                </c:pt>
                <c:pt idx="25">
                  <c:v>2021-01</c:v>
                </c:pt>
                <c:pt idx="26">
                  <c:v>2021-02</c:v>
                </c:pt>
                <c:pt idx="27">
                  <c:v>2021-03</c:v>
                </c:pt>
                <c:pt idx="28">
                  <c:v>2021-04</c:v>
                </c:pt>
                <c:pt idx="29">
                  <c:v>2021-05</c:v>
                </c:pt>
                <c:pt idx="30">
                  <c:v>2021-06</c:v>
                </c:pt>
                <c:pt idx="31">
                  <c:v>2021-07</c:v>
                </c:pt>
                <c:pt idx="32">
                  <c:v>2021-08</c:v>
                </c:pt>
                <c:pt idx="33">
                  <c:v>2021-09</c:v>
                </c:pt>
                <c:pt idx="34">
                  <c:v>2021-10</c:v>
                </c:pt>
              </c:strCache>
            </c:strRef>
          </c:cat>
          <c:val>
            <c:numRef>
              <c:f>AOPChartSheet_chart4!$B$2:$B$36</c:f>
              <c:numCache>
                <c:formatCode>General</c:formatCode>
                <c:ptCount val="35"/>
                <c:pt idx="0">
                  <c:v>51</c:v>
                </c:pt>
                <c:pt idx="1">
                  <c:v>66</c:v>
                </c:pt>
                <c:pt idx="2">
                  <c:v>59</c:v>
                </c:pt>
                <c:pt idx="3">
                  <c:v>39</c:v>
                </c:pt>
                <c:pt idx="4">
                  <c:v>43</c:v>
                </c:pt>
                <c:pt idx="5">
                  <c:v>42</c:v>
                </c:pt>
                <c:pt idx="6">
                  <c:v>42</c:v>
                </c:pt>
                <c:pt idx="7">
                  <c:v>39</c:v>
                </c:pt>
                <c:pt idx="8">
                  <c:v>48</c:v>
                </c:pt>
                <c:pt idx="9">
                  <c:v>47</c:v>
                </c:pt>
                <c:pt idx="10">
                  <c:v>44</c:v>
                </c:pt>
                <c:pt idx="11">
                  <c:v>33</c:v>
                </c:pt>
                <c:pt idx="12">
                  <c:v>43</c:v>
                </c:pt>
                <c:pt idx="13">
                  <c:v>44</c:v>
                </c:pt>
                <c:pt idx="14">
                  <c:v>48</c:v>
                </c:pt>
                <c:pt idx="15">
                  <c:v>56</c:v>
                </c:pt>
                <c:pt idx="16">
                  <c:v>63</c:v>
                </c:pt>
                <c:pt idx="17">
                  <c:v>78</c:v>
                </c:pt>
                <c:pt idx="18">
                  <c:v>50</c:v>
                </c:pt>
                <c:pt idx="19">
                  <c:v>54</c:v>
                </c:pt>
                <c:pt idx="20">
                  <c:v>39</c:v>
                </c:pt>
                <c:pt idx="21">
                  <c:v>46</c:v>
                </c:pt>
                <c:pt idx="22">
                  <c:v>48</c:v>
                </c:pt>
                <c:pt idx="23">
                  <c:v>42</c:v>
                </c:pt>
                <c:pt idx="24">
                  <c:v>47</c:v>
                </c:pt>
                <c:pt idx="25">
                  <c:v>43</c:v>
                </c:pt>
                <c:pt idx="26">
                  <c:v>46</c:v>
                </c:pt>
                <c:pt idx="27">
                  <c:v>39</c:v>
                </c:pt>
                <c:pt idx="28">
                  <c:v>38</c:v>
                </c:pt>
                <c:pt idx="29">
                  <c:v>38</c:v>
                </c:pt>
                <c:pt idx="30">
                  <c:v>40</c:v>
                </c:pt>
                <c:pt idx="31">
                  <c:v>40</c:v>
                </c:pt>
                <c:pt idx="32">
                  <c:v>43</c:v>
                </c:pt>
                <c:pt idx="33">
                  <c:v>51</c:v>
                </c:pt>
                <c:pt idx="34">
                  <c:v>52</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AOPChartSheet_chart4!$A$2:$A$36</c:f>
              <c:strCache>
                <c:ptCount val="35"/>
                <c:pt idx="0">
                  <c:v>2018-10</c:v>
                </c:pt>
                <c:pt idx="1">
                  <c:v>2018-11</c:v>
                </c:pt>
                <c:pt idx="2">
                  <c:v>2018-12</c:v>
                </c:pt>
                <c:pt idx="3">
                  <c:v>2019-03</c:v>
                </c:pt>
                <c:pt idx="4">
                  <c:v>2019-04</c:v>
                </c:pt>
                <c:pt idx="5">
                  <c:v>2019-05</c:v>
                </c:pt>
                <c:pt idx="6">
                  <c:v>2019-06</c:v>
                </c:pt>
                <c:pt idx="7">
                  <c:v>2019-07</c:v>
                </c:pt>
                <c:pt idx="8">
                  <c:v>2019-08</c:v>
                </c:pt>
                <c:pt idx="9">
                  <c:v>2019-09</c:v>
                </c:pt>
                <c:pt idx="10">
                  <c:v>2019-10</c:v>
                </c:pt>
                <c:pt idx="11">
                  <c:v>2019-11</c:v>
                </c:pt>
                <c:pt idx="12">
                  <c:v>2019-12</c:v>
                </c:pt>
                <c:pt idx="13">
                  <c:v>2020-01</c:v>
                </c:pt>
                <c:pt idx="14">
                  <c:v>2020-02</c:v>
                </c:pt>
                <c:pt idx="15">
                  <c:v>2020-03</c:v>
                </c:pt>
                <c:pt idx="16">
                  <c:v>2020-04</c:v>
                </c:pt>
                <c:pt idx="17">
                  <c:v>2020-05</c:v>
                </c:pt>
                <c:pt idx="18">
                  <c:v>2020-06</c:v>
                </c:pt>
                <c:pt idx="19">
                  <c:v>2020-07</c:v>
                </c:pt>
                <c:pt idx="20">
                  <c:v>2020-08</c:v>
                </c:pt>
                <c:pt idx="21">
                  <c:v>2020-09</c:v>
                </c:pt>
                <c:pt idx="22">
                  <c:v>2020-10</c:v>
                </c:pt>
                <c:pt idx="23">
                  <c:v>2020-11</c:v>
                </c:pt>
                <c:pt idx="24">
                  <c:v>2020-12</c:v>
                </c:pt>
                <c:pt idx="25">
                  <c:v>2021-01</c:v>
                </c:pt>
                <c:pt idx="26">
                  <c:v>2021-02</c:v>
                </c:pt>
                <c:pt idx="27">
                  <c:v>2021-03</c:v>
                </c:pt>
                <c:pt idx="28">
                  <c:v>2021-04</c:v>
                </c:pt>
                <c:pt idx="29">
                  <c:v>2021-05</c:v>
                </c:pt>
                <c:pt idx="30">
                  <c:v>2021-06</c:v>
                </c:pt>
                <c:pt idx="31">
                  <c:v>2021-07</c:v>
                </c:pt>
                <c:pt idx="32">
                  <c:v>2021-08</c:v>
                </c:pt>
                <c:pt idx="33">
                  <c:v>2021-09</c:v>
                </c:pt>
                <c:pt idx="34">
                  <c:v>2021-10</c:v>
                </c:pt>
              </c:strCache>
            </c:strRef>
          </c:cat>
          <c:val>
            <c:numRef>
              <c:f>AOPChartSheet_chart4!$C$2:$C$38</c:f>
              <c:numCache>
                <c:formatCode>General</c:formatCode>
                <c:ptCount val="37"/>
                <c:pt idx="0">
                  <c:v>50</c:v>
                </c:pt>
                <c:pt idx="1">
                  <c:v>58</c:v>
                </c:pt>
                <c:pt idx="2">
                  <c:v>60</c:v>
                </c:pt>
                <c:pt idx="3">
                  <c:v>68</c:v>
                </c:pt>
                <c:pt idx="4">
                  <c:v>71</c:v>
                </c:pt>
                <c:pt idx="5">
                  <c:v>54</c:v>
                </c:pt>
                <c:pt idx="6">
                  <c:v>53</c:v>
                </c:pt>
                <c:pt idx="7">
                  <c:v>57</c:v>
                </c:pt>
                <c:pt idx="8">
                  <c:v>60</c:v>
                </c:pt>
                <c:pt idx="9">
                  <c:v>58</c:v>
                </c:pt>
                <c:pt idx="10">
                  <c:v>62</c:v>
                </c:pt>
                <c:pt idx="11">
                  <c:v>65</c:v>
                </c:pt>
                <c:pt idx="12">
                  <c:v>64</c:v>
                </c:pt>
                <c:pt idx="13">
                  <c:v>57</c:v>
                </c:pt>
                <c:pt idx="14">
                  <c:v>63</c:v>
                </c:pt>
                <c:pt idx="15">
                  <c:v>65</c:v>
                </c:pt>
                <c:pt idx="16">
                  <c:v>63</c:v>
                </c:pt>
                <c:pt idx="17">
                  <c:v>61</c:v>
                </c:pt>
                <c:pt idx="18">
                  <c:v>61</c:v>
                </c:pt>
                <c:pt idx="19">
                  <c:v>64</c:v>
                </c:pt>
                <c:pt idx="20">
                  <c:v>49</c:v>
                </c:pt>
                <c:pt idx="21">
                  <c:v>58</c:v>
                </c:pt>
                <c:pt idx="22">
                  <c:v>53</c:v>
                </c:pt>
                <c:pt idx="23">
                  <c:v>45</c:v>
                </c:pt>
                <c:pt idx="24">
                  <c:v>54</c:v>
                </c:pt>
                <c:pt idx="25">
                  <c:v>51</c:v>
                </c:pt>
                <c:pt idx="26">
                  <c:v>49</c:v>
                </c:pt>
                <c:pt idx="27">
                  <c:v>52</c:v>
                </c:pt>
                <c:pt idx="28">
                  <c:v>51</c:v>
                </c:pt>
                <c:pt idx="29">
                  <c:v>47</c:v>
                </c:pt>
                <c:pt idx="30">
                  <c:v>47</c:v>
                </c:pt>
                <c:pt idx="31">
                  <c:v>45</c:v>
                </c:pt>
                <c:pt idx="32">
                  <c:v>47</c:v>
                </c:pt>
                <c:pt idx="33">
                  <c:v>47</c:v>
                </c:pt>
                <c:pt idx="34">
                  <c:v>41</c:v>
                </c:pt>
                <c:pt idx="35">
                  <c:v>43</c:v>
                </c:pt>
                <c:pt idx="36">
                  <c:v>42</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AOPChartSheet_chart4!$A$2:$A$36</c:f>
              <c:strCache>
                <c:ptCount val="35"/>
                <c:pt idx="0">
                  <c:v>2018-10</c:v>
                </c:pt>
                <c:pt idx="1">
                  <c:v>2018-11</c:v>
                </c:pt>
                <c:pt idx="2">
                  <c:v>2018-12</c:v>
                </c:pt>
                <c:pt idx="3">
                  <c:v>2019-03</c:v>
                </c:pt>
                <c:pt idx="4">
                  <c:v>2019-04</c:v>
                </c:pt>
                <c:pt idx="5">
                  <c:v>2019-05</c:v>
                </c:pt>
                <c:pt idx="6">
                  <c:v>2019-06</c:v>
                </c:pt>
                <c:pt idx="7">
                  <c:v>2019-07</c:v>
                </c:pt>
                <c:pt idx="8">
                  <c:v>2019-08</c:v>
                </c:pt>
                <c:pt idx="9">
                  <c:v>2019-09</c:v>
                </c:pt>
                <c:pt idx="10">
                  <c:v>2019-10</c:v>
                </c:pt>
                <c:pt idx="11">
                  <c:v>2019-11</c:v>
                </c:pt>
                <c:pt idx="12">
                  <c:v>2019-12</c:v>
                </c:pt>
                <c:pt idx="13">
                  <c:v>2020-01</c:v>
                </c:pt>
                <c:pt idx="14">
                  <c:v>2020-02</c:v>
                </c:pt>
                <c:pt idx="15">
                  <c:v>2020-03</c:v>
                </c:pt>
                <c:pt idx="16">
                  <c:v>2020-04</c:v>
                </c:pt>
                <c:pt idx="17">
                  <c:v>2020-05</c:v>
                </c:pt>
                <c:pt idx="18">
                  <c:v>2020-06</c:v>
                </c:pt>
                <c:pt idx="19">
                  <c:v>2020-07</c:v>
                </c:pt>
                <c:pt idx="20">
                  <c:v>2020-08</c:v>
                </c:pt>
                <c:pt idx="21">
                  <c:v>2020-09</c:v>
                </c:pt>
                <c:pt idx="22">
                  <c:v>2020-10</c:v>
                </c:pt>
                <c:pt idx="23">
                  <c:v>2020-11</c:v>
                </c:pt>
                <c:pt idx="24">
                  <c:v>2020-12</c:v>
                </c:pt>
                <c:pt idx="25">
                  <c:v>2021-01</c:v>
                </c:pt>
                <c:pt idx="26">
                  <c:v>2021-02</c:v>
                </c:pt>
                <c:pt idx="27">
                  <c:v>2021-03</c:v>
                </c:pt>
                <c:pt idx="28">
                  <c:v>2021-04</c:v>
                </c:pt>
                <c:pt idx="29">
                  <c:v>2021-05</c:v>
                </c:pt>
                <c:pt idx="30">
                  <c:v>2021-06</c:v>
                </c:pt>
                <c:pt idx="31">
                  <c:v>2021-07</c:v>
                </c:pt>
                <c:pt idx="32">
                  <c:v>2021-08</c:v>
                </c:pt>
                <c:pt idx="33">
                  <c:v>2021-09</c:v>
                </c:pt>
                <c:pt idx="34">
                  <c:v>2021-10</c:v>
                </c:pt>
              </c:strCache>
            </c:strRef>
          </c:cat>
          <c:val>
            <c:numRef>
              <c:f>AOPChartSheet_chart4!$D$2:$D$38</c:f>
              <c:numCache>
                <c:formatCode>General</c:formatCode>
                <c:ptCount val="37"/>
                <c:pt idx="0">
                  <c:v>54</c:v>
                </c:pt>
                <c:pt idx="1">
                  <c:v>62</c:v>
                </c:pt>
                <c:pt idx="2">
                  <c:v>64</c:v>
                </c:pt>
                <c:pt idx="3">
                  <c:v>73</c:v>
                </c:pt>
                <c:pt idx="4">
                  <c:v>74</c:v>
                </c:pt>
                <c:pt idx="5">
                  <c:v>58</c:v>
                </c:pt>
                <c:pt idx="6">
                  <c:v>58</c:v>
                </c:pt>
                <c:pt idx="7">
                  <c:v>68</c:v>
                </c:pt>
                <c:pt idx="8">
                  <c:v>69</c:v>
                </c:pt>
                <c:pt idx="9">
                  <c:v>66</c:v>
                </c:pt>
                <c:pt idx="10">
                  <c:v>70</c:v>
                </c:pt>
                <c:pt idx="11">
                  <c:v>73</c:v>
                </c:pt>
                <c:pt idx="12">
                  <c:v>71</c:v>
                </c:pt>
                <c:pt idx="13">
                  <c:v>65</c:v>
                </c:pt>
                <c:pt idx="14">
                  <c:v>70</c:v>
                </c:pt>
                <c:pt idx="15">
                  <c:v>71</c:v>
                </c:pt>
                <c:pt idx="16">
                  <c:v>72</c:v>
                </c:pt>
                <c:pt idx="17">
                  <c:v>72</c:v>
                </c:pt>
                <c:pt idx="18">
                  <c:v>71</c:v>
                </c:pt>
                <c:pt idx="19">
                  <c:v>79</c:v>
                </c:pt>
                <c:pt idx="20">
                  <c:v>62</c:v>
                </c:pt>
                <c:pt idx="21">
                  <c:v>70</c:v>
                </c:pt>
                <c:pt idx="22">
                  <c:v>64</c:v>
                </c:pt>
                <c:pt idx="23">
                  <c:v>54</c:v>
                </c:pt>
                <c:pt idx="24">
                  <c:v>63</c:v>
                </c:pt>
                <c:pt idx="25">
                  <c:v>61</c:v>
                </c:pt>
                <c:pt idx="26">
                  <c:v>59</c:v>
                </c:pt>
                <c:pt idx="27">
                  <c:v>60</c:v>
                </c:pt>
                <c:pt idx="28">
                  <c:v>61</c:v>
                </c:pt>
                <c:pt idx="29">
                  <c:v>56</c:v>
                </c:pt>
                <c:pt idx="30">
                  <c:v>55</c:v>
                </c:pt>
                <c:pt idx="31">
                  <c:v>54</c:v>
                </c:pt>
                <c:pt idx="32">
                  <c:v>54</c:v>
                </c:pt>
                <c:pt idx="33">
                  <c:v>50</c:v>
                </c:pt>
                <c:pt idx="34">
                  <c:v>44</c:v>
                </c:pt>
                <c:pt idx="35">
                  <c:v>45</c:v>
                </c:pt>
                <c:pt idx="36">
                  <c:v>43</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AOPChartSheet_chart4!$A$2:$A$36</c:f>
              <c:strCache>
                <c:ptCount val="35"/>
                <c:pt idx="0">
                  <c:v>2018-10</c:v>
                </c:pt>
                <c:pt idx="1">
                  <c:v>2018-11</c:v>
                </c:pt>
                <c:pt idx="2">
                  <c:v>2018-12</c:v>
                </c:pt>
                <c:pt idx="3">
                  <c:v>2019-03</c:v>
                </c:pt>
                <c:pt idx="4">
                  <c:v>2019-04</c:v>
                </c:pt>
                <c:pt idx="5">
                  <c:v>2019-05</c:v>
                </c:pt>
                <c:pt idx="6">
                  <c:v>2019-06</c:v>
                </c:pt>
                <c:pt idx="7">
                  <c:v>2019-07</c:v>
                </c:pt>
                <c:pt idx="8">
                  <c:v>2019-08</c:v>
                </c:pt>
                <c:pt idx="9">
                  <c:v>2019-09</c:v>
                </c:pt>
                <c:pt idx="10">
                  <c:v>2019-10</c:v>
                </c:pt>
                <c:pt idx="11">
                  <c:v>2019-11</c:v>
                </c:pt>
                <c:pt idx="12">
                  <c:v>2019-12</c:v>
                </c:pt>
                <c:pt idx="13">
                  <c:v>2020-01</c:v>
                </c:pt>
                <c:pt idx="14">
                  <c:v>2020-02</c:v>
                </c:pt>
                <c:pt idx="15">
                  <c:v>2020-03</c:v>
                </c:pt>
                <c:pt idx="16">
                  <c:v>2020-04</c:v>
                </c:pt>
                <c:pt idx="17">
                  <c:v>2020-05</c:v>
                </c:pt>
                <c:pt idx="18">
                  <c:v>2020-06</c:v>
                </c:pt>
                <c:pt idx="19">
                  <c:v>2020-07</c:v>
                </c:pt>
                <c:pt idx="20">
                  <c:v>2020-08</c:v>
                </c:pt>
                <c:pt idx="21">
                  <c:v>2020-09</c:v>
                </c:pt>
                <c:pt idx="22">
                  <c:v>2020-10</c:v>
                </c:pt>
                <c:pt idx="23">
                  <c:v>2020-11</c:v>
                </c:pt>
                <c:pt idx="24">
                  <c:v>2020-12</c:v>
                </c:pt>
                <c:pt idx="25">
                  <c:v>2021-01</c:v>
                </c:pt>
                <c:pt idx="26">
                  <c:v>2021-02</c:v>
                </c:pt>
                <c:pt idx="27">
                  <c:v>2021-03</c:v>
                </c:pt>
                <c:pt idx="28">
                  <c:v>2021-04</c:v>
                </c:pt>
                <c:pt idx="29">
                  <c:v>2021-05</c:v>
                </c:pt>
                <c:pt idx="30">
                  <c:v>2021-06</c:v>
                </c:pt>
                <c:pt idx="31">
                  <c:v>2021-07</c:v>
                </c:pt>
                <c:pt idx="32">
                  <c:v>2021-08</c:v>
                </c:pt>
                <c:pt idx="33">
                  <c:v>2021-09</c:v>
                </c:pt>
                <c:pt idx="34">
                  <c:v>2021-10</c:v>
                </c:pt>
              </c:strCache>
            </c:strRef>
          </c:cat>
          <c:val>
            <c:numRef>
              <c:f>AOPChartSheet_chart4!$E$2:$E$38</c:f>
              <c:numCache>
                <c:formatCode>General</c:formatCode>
                <c:ptCount val="37"/>
                <c:pt idx="0">
                  <c:v>69</c:v>
                </c:pt>
                <c:pt idx="1">
                  <c:v>75</c:v>
                </c:pt>
                <c:pt idx="2">
                  <c:v>76</c:v>
                </c:pt>
                <c:pt idx="3">
                  <c:v>85</c:v>
                </c:pt>
                <c:pt idx="4">
                  <c:v>84</c:v>
                </c:pt>
                <c:pt idx="5">
                  <c:v>76</c:v>
                </c:pt>
                <c:pt idx="6">
                  <c:v>75</c:v>
                </c:pt>
                <c:pt idx="7">
                  <c:v>87</c:v>
                </c:pt>
                <c:pt idx="8">
                  <c:v>86</c:v>
                </c:pt>
                <c:pt idx="9">
                  <c:v>80</c:v>
                </c:pt>
                <c:pt idx="10">
                  <c:v>86</c:v>
                </c:pt>
                <c:pt idx="11">
                  <c:v>88</c:v>
                </c:pt>
                <c:pt idx="12">
                  <c:v>87</c:v>
                </c:pt>
                <c:pt idx="13">
                  <c:v>80</c:v>
                </c:pt>
                <c:pt idx="14">
                  <c:v>87</c:v>
                </c:pt>
                <c:pt idx="15">
                  <c:v>87</c:v>
                </c:pt>
                <c:pt idx="16">
                  <c:v>88</c:v>
                </c:pt>
                <c:pt idx="17">
                  <c:v>88</c:v>
                </c:pt>
                <c:pt idx="18">
                  <c:v>88</c:v>
                </c:pt>
                <c:pt idx="19">
                  <c:v>100</c:v>
                </c:pt>
                <c:pt idx="20">
                  <c:v>79</c:v>
                </c:pt>
                <c:pt idx="21">
                  <c:v>87</c:v>
                </c:pt>
                <c:pt idx="22">
                  <c:v>81</c:v>
                </c:pt>
                <c:pt idx="23">
                  <c:v>70</c:v>
                </c:pt>
                <c:pt idx="24">
                  <c:v>80</c:v>
                </c:pt>
                <c:pt idx="25">
                  <c:v>77</c:v>
                </c:pt>
                <c:pt idx="26">
                  <c:v>75</c:v>
                </c:pt>
                <c:pt idx="27">
                  <c:v>74</c:v>
                </c:pt>
                <c:pt idx="28">
                  <c:v>75</c:v>
                </c:pt>
                <c:pt idx="29">
                  <c:v>69</c:v>
                </c:pt>
                <c:pt idx="30">
                  <c:v>68</c:v>
                </c:pt>
                <c:pt idx="31">
                  <c:v>66</c:v>
                </c:pt>
                <c:pt idx="32">
                  <c:v>63</c:v>
                </c:pt>
                <c:pt idx="33">
                  <c:v>57</c:v>
                </c:pt>
                <c:pt idx="34">
                  <c:v>51</c:v>
                </c:pt>
                <c:pt idx="35">
                  <c:v>49</c:v>
                </c:pt>
                <c:pt idx="36">
                  <c:v>48</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AOPChartSheet_chart4!$A$2:$A$33</c:f>
              <c:strCache>
                <c:ptCount val="32"/>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2020-12</c:v>
                </c:pt>
                <c:pt idx="24">
                  <c:v>2021-03</c:v>
                </c:pt>
                <c:pt idx="25">
                  <c:v>2021-04</c:v>
                </c:pt>
                <c:pt idx="26">
                  <c:v>2021-05</c:v>
                </c:pt>
                <c:pt idx="27">
                  <c:v>2021-06</c:v>
                </c:pt>
                <c:pt idx="28">
                  <c:v>2021-07</c:v>
                </c:pt>
                <c:pt idx="29">
                  <c:v>2021-08</c:v>
                </c:pt>
                <c:pt idx="30">
                  <c:v>2021-09</c:v>
                </c:pt>
                <c:pt idx="31">
                  <c:v>2021-10</c:v>
                </c:pt>
              </c:strCache>
            </c:strRef>
          </c:cat>
          <c:val>
            <c:numRef>
              <c:f>AOPChartSheet_chart4!$B$2:$B$33</c:f>
              <c:numCache>
                <c:formatCode>General</c:formatCode>
                <c:ptCount val="32"/>
                <c:pt idx="0">
                  <c:v>4.54</c:v>
                </c:pt>
                <c:pt idx="1">
                  <c:v>4.54</c:v>
                </c:pt>
                <c:pt idx="2">
                  <c:v>5.49</c:v>
                </c:pt>
                <c:pt idx="3">
                  <c:v>3.12</c:v>
                </c:pt>
                <c:pt idx="4">
                  <c:v>3.28</c:v>
                </c:pt>
                <c:pt idx="5">
                  <c:v>4.5199999999999996</c:v>
                </c:pt>
                <c:pt idx="6">
                  <c:v>4.4800000000000004</c:v>
                </c:pt>
                <c:pt idx="7">
                  <c:v>4.25</c:v>
                </c:pt>
                <c:pt idx="8">
                  <c:v>4.5</c:v>
                </c:pt>
                <c:pt idx="9">
                  <c:v>5.23</c:v>
                </c:pt>
                <c:pt idx="10">
                  <c:v>3.39</c:v>
                </c:pt>
                <c:pt idx="11">
                  <c:v>3.52</c:v>
                </c:pt>
                <c:pt idx="12">
                  <c:v>3.01</c:v>
                </c:pt>
                <c:pt idx="13">
                  <c:v>3.75</c:v>
                </c:pt>
                <c:pt idx="14">
                  <c:v>3.6</c:v>
                </c:pt>
                <c:pt idx="15">
                  <c:v>4</c:v>
                </c:pt>
                <c:pt idx="16">
                  <c:v>3.95</c:v>
                </c:pt>
                <c:pt idx="17">
                  <c:v>4.93</c:v>
                </c:pt>
                <c:pt idx="18">
                  <c:v>1.24</c:v>
                </c:pt>
                <c:pt idx="19">
                  <c:v>0.68</c:v>
                </c:pt>
                <c:pt idx="20">
                  <c:v>3.61</c:v>
                </c:pt>
                <c:pt idx="21">
                  <c:v>5.75</c:v>
                </c:pt>
                <c:pt idx="22">
                  <c:v>3.98</c:v>
                </c:pt>
                <c:pt idx="23">
                  <c:v>4.04</c:v>
                </c:pt>
                <c:pt idx="24">
                  <c:v>2.39</c:v>
                </c:pt>
                <c:pt idx="25">
                  <c:v>2.5</c:v>
                </c:pt>
                <c:pt idx="26">
                  <c:v>2.5</c:v>
                </c:pt>
                <c:pt idx="27">
                  <c:v>9.7100000000000009</c:v>
                </c:pt>
                <c:pt idx="28">
                  <c:v>9</c:v>
                </c:pt>
                <c:pt idx="29">
                  <c:v>8.14</c:v>
                </c:pt>
                <c:pt idx="30">
                  <c:v>3.95</c:v>
                </c:pt>
                <c:pt idx="31">
                  <c:v>4.6900000000000004</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AOPChartSheet_chart4!$A$2:$A$33</c:f>
              <c:strCache>
                <c:ptCount val="32"/>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2020-12</c:v>
                </c:pt>
                <c:pt idx="24">
                  <c:v>2021-03</c:v>
                </c:pt>
                <c:pt idx="25">
                  <c:v>2021-04</c:v>
                </c:pt>
                <c:pt idx="26">
                  <c:v>2021-05</c:v>
                </c:pt>
                <c:pt idx="27">
                  <c:v>2021-06</c:v>
                </c:pt>
                <c:pt idx="28">
                  <c:v>2021-07</c:v>
                </c:pt>
                <c:pt idx="29">
                  <c:v>2021-08</c:v>
                </c:pt>
                <c:pt idx="30">
                  <c:v>2021-09</c:v>
                </c:pt>
                <c:pt idx="31">
                  <c:v>2021-10</c:v>
                </c:pt>
              </c:strCache>
            </c:strRef>
          </c:cat>
          <c:val>
            <c:numRef>
              <c:f>AOPChartSheet_chart4!$C$2:$C$38</c:f>
              <c:numCache>
                <c:formatCode>General</c:formatCode>
                <c:ptCount val="37"/>
                <c:pt idx="0">
                  <c:v>3.82</c:v>
                </c:pt>
                <c:pt idx="1">
                  <c:v>4.1500000000000004</c:v>
                </c:pt>
                <c:pt idx="2">
                  <c:v>4.3499999999999996</c:v>
                </c:pt>
                <c:pt idx="3">
                  <c:v>4.74</c:v>
                </c:pt>
                <c:pt idx="4">
                  <c:v>4.99</c:v>
                </c:pt>
                <c:pt idx="5">
                  <c:v>4.55</c:v>
                </c:pt>
                <c:pt idx="6">
                  <c:v>4.8</c:v>
                </c:pt>
                <c:pt idx="7">
                  <c:v>4.76</c:v>
                </c:pt>
                <c:pt idx="8">
                  <c:v>4.6500000000000004</c:v>
                </c:pt>
                <c:pt idx="9">
                  <c:v>4.79</c:v>
                </c:pt>
                <c:pt idx="10">
                  <c:v>5.05</c:v>
                </c:pt>
                <c:pt idx="11">
                  <c:v>5.29</c:v>
                </c:pt>
                <c:pt idx="12">
                  <c:v>3.44</c:v>
                </c:pt>
                <c:pt idx="13">
                  <c:v>2.98</c:v>
                </c:pt>
                <c:pt idx="14">
                  <c:v>2.39</c:v>
                </c:pt>
                <c:pt idx="15">
                  <c:v>2.34</c:v>
                </c:pt>
                <c:pt idx="16">
                  <c:v>2.11</c:v>
                </c:pt>
                <c:pt idx="17">
                  <c:v>1.86</c:v>
                </c:pt>
                <c:pt idx="18">
                  <c:v>1.82</c:v>
                </c:pt>
                <c:pt idx="19">
                  <c:v>1.88</c:v>
                </c:pt>
                <c:pt idx="20">
                  <c:v>1.73</c:v>
                </c:pt>
                <c:pt idx="21">
                  <c:v>1.73</c:v>
                </c:pt>
                <c:pt idx="22">
                  <c:v>3.21</c:v>
                </c:pt>
                <c:pt idx="23">
                  <c:v>3.07</c:v>
                </c:pt>
                <c:pt idx="24">
                  <c:v>2.84</c:v>
                </c:pt>
                <c:pt idx="25">
                  <c:v>2.96</c:v>
                </c:pt>
                <c:pt idx="26">
                  <c:v>3.05</c:v>
                </c:pt>
                <c:pt idx="27">
                  <c:v>2.95</c:v>
                </c:pt>
                <c:pt idx="28">
                  <c:v>2.97</c:v>
                </c:pt>
                <c:pt idx="29">
                  <c:v>2.88</c:v>
                </c:pt>
                <c:pt idx="30">
                  <c:v>2.86</c:v>
                </c:pt>
                <c:pt idx="31">
                  <c:v>2.88</c:v>
                </c:pt>
                <c:pt idx="32">
                  <c:v>2.93</c:v>
                </c:pt>
                <c:pt idx="33">
                  <c:v>2.88</c:v>
                </c:pt>
                <c:pt idx="34">
                  <c:v>2.78</c:v>
                </c:pt>
                <c:pt idx="35">
                  <c:v>2.72</c:v>
                </c:pt>
                <c:pt idx="36">
                  <c:v>2.74</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AOPChartSheet_chart4!$A$2:$A$33</c:f>
              <c:strCache>
                <c:ptCount val="32"/>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2020-12</c:v>
                </c:pt>
                <c:pt idx="24">
                  <c:v>2021-03</c:v>
                </c:pt>
                <c:pt idx="25">
                  <c:v>2021-04</c:v>
                </c:pt>
                <c:pt idx="26">
                  <c:v>2021-05</c:v>
                </c:pt>
                <c:pt idx="27">
                  <c:v>2021-06</c:v>
                </c:pt>
                <c:pt idx="28">
                  <c:v>2021-07</c:v>
                </c:pt>
                <c:pt idx="29">
                  <c:v>2021-08</c:v>
                </c:pt>
                <c:pt idx="30">
                  <c:v>2021-09</c:v>
                </c:pt>
                <c:pt idx="31">
                  <c:v>2021-10</c:v>
                </c:pt>
              </c:strCache>
            </c:strRef>
          </c:cat>
          <c:val>
            <c:numRef>
              <c:f>AOPChartSheet_chart4!$D$2:$D$38</c:f>
              <c:numCache>
                <c:formatCode>General</c:formatCode>
                <c:ptCount val="37"/>
                <c:pt idx="0">
                  <c:v>3.78</c:v>
                </c:pt>
                <c:pt idx="1">
                  <c:v>4.1500000000000004</c:v>
                </c:pt>
                <c:pt idx="2">
                  <c:v>4.3499999999999996</c:v>
                </c:pt>
                <c:pt idx="3">
                  <c:v>4.55</c:v>
                </c:pt>
                <c:pt idx="4">
                  <c:v>4.74</c:v>
                </c:pt>
                <c:pt idx="5">
                  <c:v>4.54</c:v>
                </c:pt>
                <c:pt idx="6">
                  <c:v>4.71</c:v>
                </c:pt>
                <c:pt idx="7">
                  <c:v>4.68</c:v>
                </c:pt>
                <c:pt idx="8">
                  <c:v>4.5199999999999996</c:v>
                </c:pt>
                <c:pt idx="9">
                  <c:v>4.55</c:v>
                </c:pt>
                <c:pt idx="10">
                  <c:v>4.68</c:v>
                </c:pt>
                <c:pt idx="11">
                  <c:v>4.8099999999999996</c:v>
                </c:pt>
                <c:pt idx="12">
                  <c:v>3.33</c:v>
                </c:pt>
                <c:pt idx="13">
                  <c:v>2.9</c:v>
                </c:pt>
                <c:pt idx="14">
                  <c:v>2.48</c:v>
                </c:pt>
                <c:pt idx="15">
                  <c:v>2.3199999999999998</c:v>
                </c:pt>
                <c:pt idx="16">
                  <c:v>2.09</c:v>
                </c:pt>
                <c:pt idx="17">
                  <c:v>1.91</c:v>
                </c:pt>
                <c:pt idx="18">
                  <c:v>2.02</c:v>
                </c:pt>
                <c:pt idx="19">
                  <c:v>2.21</c:v>
                </c:pt>
                <c:pt idx="20">
                  <c:v>2.15</c:v>
                </c:pt>
                <c:pt idx="21">
                  <c:v>2.12</c:v>
                </c:pt>
                <c:pt idx="22">
                  <c:v>3.11</c:v>
                </c:pt>
                <c:pt idx="23">
                  <c:v>3.03</c:v>
                </c:pt>
                <c:pt idx="24">
                  <c:v>2.86</c:v>
                </c:pt>
                <c:pt idx="25">
                  <c:v>2.86</c:v>
                </c:pt>
                <c:pt idx="26">
                  <c:v>2.83</c:v>
                </c:pt>
                <c:pt idx="27">
                  <c:v>2.86</c:v>
                </c:pt>
                <c:pt idx="28">
                  <c:v>2.76</c:v>
                </c:pt>
                <c:pt idx="29">
                  <c:v>2.56</c:v>
                </c:pt>
                <c:pt idx="30">
                  <c:v>2.63</c:v>
                </c:pt>
                <c:pt idx="31">
                  <c:v>2.6</c:v>
                </c:pt>
                <c:pt idx="32">
                  <c:v>2.65</c:v>
                </c:pt>
                <c:pt idx="33">
                  <c:v>2.62</c:v>
                </c:pt>
                <c:pt idx="34">
                  <c:v>2.42</c:v>
                </c:pt>
                <c:pt idx="35">
                  <c:v>2.31</c:v>
                </c:pt>
                <c:pt idx="36">
                  <c:v>2.27</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AOPChartSheet_chart4!$A$2:$A$33</c:f>
              <c:strCache>
                <c:ptCount val="32"/>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2020-12</c:v>
                </c:pt>
                <c:pt idx="24">
                  <c:v>2021-03</c:v>
                </c:pt>
                <c:pt idx="25">
                  <c:v>2021-04</c:v>
                </c:pt>
                <c:pt idx="26">
                  <c:v>2021-05</c:v>
                </c:pt>
                <c:pt idx="27">
                  <c:v>2021-06</c:v>
                </c:pt>
                <c:pt idx="28">
                  <c:v>2021-07</c:v>
                </c:pt>
                <c:pt idx="29">
                  <c:v>2021-08</c:v>
                </c:pt>
                <c:pt idx="30">
                  <c:v>2021-09</c:v>
                </c:pt>
                <c:pt idx="31">
                  <c:v>2021-10</c:v>
                </c:pt>
              </c:strCache>
            </c:strRef>
          </c:cat>
          <c:val>
            <c:numRef>
              <c:f>AOPChartSheet_chart4!$E$2:$E$38</c:f>
              <c:numCache>
                <c:formatCode>General</c:formatCode>
                <c:ptCount val="37"/>
                <c:pt idx="0">
                  <c:v>4.55</c:v>
                </c:pt>
                <c:pt idx="1">
                  <c:v>5.13</c:v>
                </c:pt>
                <c:pt idx="2">
                  <c:v>5.24</c:v>
                </c:pt>
                <c:pt idx="3">
                  <c:v>5.44</c:v>
                </c:pt>
                <c:pt idx="4">
                  <c:v>5.67</c:v>
                </c:pt>
                <c:pt idx="5">
                  <c:v>5.31</c:v>
                </c:pt>
                <c:pt idx="6">
                  <c:v>5.5</c:v>
                </c:pt>
                <c:pt idx="7">
                  <c:v>5.45</c:v>
                </c:pt>
                <c:pt idx="8">
                  <c:v>5.0999999999999996</c:v>
                </c:pt>
                <c:pt idx="9">
                  <c:v>4.97</c:v>
                </c:pt>
                <c:pt idx="10">
                  <c:v>4.9400000000000004</c:v>
                </c:pt>
                <c:pt idx="11">
                  <c:v>4.9800000000000004</c:v>
                </c:pt>
                <c:pt idx="12">
                  <c:v>4.08</c:v>
                </c:pt>
                <c:pt idx="13">
                  <c:v>3.71</c:v>
                </c:pt>
                <c:pt idx="14">
                  <c:v>3.37</c:v>
                </c:pt>
                <c:pt idx="15">
                  <c:v>3.27</c:v>
                </c:pt>
                <c:pt idx="16">
                  <c:v>3.13</c:v>
                </c:pt>
                <c:pt idx="17">
                  <c:v>3.01</c:v>
                </c:pt>
                <c:pt idx="18">
                  <c:v>3.13</c:v>
                </c:pt>
                <c:pt idx="19">
                  <c:v>3.25</c:v>
                </c:pt>
                <c:pt idx="20">
                  <c:v>3.2</c:v>
                </c:pt>
                <c:pt idx="21">
                  <c:v>3.4</c:v>
                </c:pt>
                <c:pt idx="22">
                  <c:v>3.64</c:v>
                </c:pt>
                <c:pt idx="23">
                  <c:v>3.46</c:v>
                </c:pt>
                <c:pt idx="24">
                  <c:v>3.32</c:v>
                </c:pt>
                <c:pt idx="25">
                  <c:v>3.1</c:v>
                </c:pt>
                <c:pt idx="26">
                  <c:v>3.06</c:v>
                </c:pt>
                <c:pt idx="27">
                  <c:v>3.08</c:v>
                </c:pt>
                <c:pt idx="28">
                  <c:v>2.96</c:v>
                </c:pt>
                <c:pt idx="29">
                  <c:v>2.77</c:v>
                </c:pt>
                <c:pt idx="30">
                  <c:v>2.91</c:v>
                </c:pt>
                <c:pt idx="31">
                  <c:v>2.86</c:v>
                </c:pt>
                <c:pt idx="32">
                  <c:v>2.86</c:v>
                </c:pt>
                <c:pt idx="33">
                  <c:v>2.79</c:v>
                </c:pt>
                <c:pt idx="34">
                  <c:v>2.56</c:v>
                </c:pt>
                <c:pt idx="35">
                  <c:v>2.5299999999999998</c:v>
                </c:pt>
                <c:pt idx="36">
                  <c:v>2.5099999999999998</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AOPChartSheet_chart4!$A$2:$A$35</c:f>
              <c:strCache>
                <c:ptCount val="34"/>
                <c:pt idx="0">
                  <c:v>2018-10</c:v>
                </c:pt>
                <c:pt idx="1">
                  <c:v>2018-11</c:v>
                </c:pt>
                <c:pt idx="2">
                  <c:v>2018-12</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strCache>
            </c:strRef>
          </c:cat>
          <c:val>
            <c:numRef>
              <c:f>AOPChartSheet_chart4!$B$2:$B$35</c:f>
              <c:numCache>
                <c:formatCode>General</c:formatCode>
                <c:ptCount val="34"/>
                <c:pt idx="0">
                  <c:v>53.4</c:v>
                </c:pt>
                <c:pt idx="1">
                  <c:v>53</c:v>
                </c:pt>
                <c:pt idx="2">
                  <c:v>50.5</c:v>
                </c:pt>
                <c:pt idx="3">
                  <c:v>66.7</c:v>
                </c:pt>
                <c:pt idx="4">
                  <c:v>80</c:v>
                </c:pt>
                <c:pt idx="5">
                  <c:v>66.7</c:v>
                </c:pt>
                <c:pt idx="6">
                  <c:v>60</c:v>
                </c:pt>
                <c:pt idx="7">
                  <c:v>55.6</c:v>
                </c:pt>
                <c:pt idx="8">
                  <c:v>66.7</c:v>
                </c:pt>
                <c:pt idx="9">
                  <c:v>66.7</c:v>
                </c:pt>
                <c:pt idx="10">
                  <c:v>69.2</c:v>
                </c:pt>
                <c:pt idx="11">
                  <c:v>75</c:v>
                </c:pt>
                <c:pt idx="12">
                  <c:v>87.5</c:v>
                </c:pt>
                <c:pt idx="13">
                  <c:v>100</c:v>
                </c:pt>
                <c:pt idx="14">
                  <c:v>87.5</c:v>
                </c:pt>
                <c:pt idx="15">
                  <c:v>87.5</c:v>
                </c:pt>
                <c:pt idx="16">
                  <c:v>85.7</c:v>
                </c:pt>
                <c:pt idx="17">
                  <c:v>100</c:v>
                </c:pt>
                <c:pt idx="18">
                  <c:v>75</c:v>
                </c:pt>
                <c:pt idx="19">
                  <c:v>75</c:v>
                </c:pt>
                <c:pt idx="20">
                  <c:v>0</c:v>
                </c:pt>
                <c:pt idx="21">
                  <c:v>100</c:v>
                </c:pt>
                <c:pt idx="22">
                  <c:v>100</c:v>
                </c:pt>
                <c:pt idx="23">
                  <c:v>81.8</c:v>
                </c:pt>
                <c:pt idx="24">
                  <c:v>77.8</c:v>
                </c:pt>
                <c:pt idx="25">
                  <c:v>70</c:v>
                </c:pt>
                <c:pt idx="26">
                  <c:v>66.7</c:v>
                </c:pt>
                <c:pt idx="27">
                  <c:v>71.400000000000006</c:v>
                </c:pt>
                <c:pt idx="28">
                  <c:v>84</c:v>
                </c:pt>
                <c:pt idx="29">
                  <c:v>90.5</c:v>
                </c:pt>
                <c:pt idx="30">
                  <c:v>90.5</c:v>
                </c:pt>
                <c:pt idx="31">
                  <c:v>87.5</c:v>
                </c:pt>
                <c:pt idx="32">
                  <c:v>83.3</c:v>
                </c:pt>
                <c:pt idx="33">
                  <c:v>85.7</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AOPChartSheet_chart4!$A$2:$A$35</c:f>
              <c:strCache>
                <c:ptCount val="34"/>
                <c:pt idx="0">
                  <c:v>2018-10</c:v>
                </c:pt>
                <c:pt idx="1">
                  <c:v>2018-11</c:v>
                </c:pt>
                <c:pt idx="2">
                  <c:v>2018-12</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strCache>
            </c:strRef>
          </c:cat>
          <c:val>
            <c:numRef>
              <c:f>AOPChartSheet_chart4!$C$2:$C$38</c:f>
              <c:numCache>
                <c:formatCode>General</c:formatCode>
                <c:ptCount val="37"/>
                <c:pt idx="0">
                  <c:v>62.5</c:v>
                </c:pt>
                <c:pt idx="1">
                  <c:v>60</c:v>
                </c:pt>
                <c:pt idx="2">
                  <c:v>55.2</c:v>
                </c:pt>
                <c:pt idx="3">
                  <c:v>59.8</c:v>
                </c:pt>
                <c:pt idx="4">
                  <c:v>60.1</c:v>
                </c:pt>
                <c:pt idx="5">
                  <c:v>59.5</c:v>
                </c:pt>
                <c:pt idx="6">
                  <c:v>66.7</c:v>
                </c:pt>
                <c:pt idx="7">
                  <c:v>71.400000000000006</c:v>
                </c:pt>
                <c:pt idx="8">
                  <c:v>70</c:v>
                </c:pt>
                <c:pt idx="9">
                  <c:v>76.900000000000006</c:v>
                </c:pt>
                <c:pt idx="10">
                  <c:v>85.7</c:v>
                </c:pt>
                <c:pt idx="11">
                  <c:v>85.7</c:v>
                </c:pt>
                <c:pt idx="12">
                  <c:v>86.7</c:v>
                </c:pt>
                <c:pt idx="13">
                  <c:v>85.7</c:v>
                </c:pt>
                <c:pt idx="14">
                  <c:v>85.7</c:v>
                </c:pt>
                <c:pt idx="15">
                  <c:v>85.7</c:v>
                </c:pt>
                <c:pt idx="16">
                  <c:v>88.9</c:v>
                </c:pt>
                <c:pt idx="17">
                  <c:v>87.5</c:v>
                </c:pt>
                <c:pt idx="18">
                  <c:v>84.6</c:v>
                </c:pt>
                <c:pt idx="19">
                  <c:v>83.3</c:v>
                </c:pt>
                <c:pt idx="20">
                  <c:v>83.3</c:v>
                </c:pt>
                <c:pt idx="21">
                  <c:v>80</c:v>
                </c:pt>
                <c:pt idx="22">
                  <c:v>81.8</c:v>
                </c:pt>
                <c:pt idx="23">
                  <c:v>85.7</c:v>
                </c:pt>
                <c:pt idx="24">
                  <c:v>100</c:v>
                </c:pt>
                <c:pt idx="25">
                  <c:v>100</c:v>
                </c:pt>
                <c:pt idx="26">
                  <c:v>90.9</c:v>
                </c:pt>
                <c:pt idx="27">
                  <c:v>90.9</c:v>
                </c:pt>
                <c:pt idx="28">
                  <c:v>94.5</c:v>
                </c:pt>
                <c:pt idx="29">
                  <c:v>100</c:v>
                </c:pt>
                <c:pt idx="30">
                  <c:v>94.1</c:v>
                </c:pt>
                <c:pt idx="31">
                  <c:v>92.5</c:v>
                </c:pt>
                <c:pt idx="32">
                  <c:v>93.3</c:v>
                </c:pt>
                <c:pt idx="33">
                  <c:v>92.9</c:v>
                </c:pt>
                <c:pt idx="34">
                  <c:v>94.6</c:v>
                </c:pt>
                <c:pt idx="35">
                  <c:v>95.3</c:v>
                </c:pt>
                <c:pt idx="36">
                  <c:v>100</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AOPChartSheet_chart4!$A$2:$A$35</c:f>
              <c:strCache>
                <c:ptCount val="34"/>
                <c:pt idx="0">
                  <c:v>2018-10</c:v>
                </c:pt>
                <c:pt idx="1">
                  <c:v>2018-11</c:v>
                </c:pt>
                <c:pt idx="2">
                  <c:v>2018-12</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strCache>
            </c:strRef>
          </c:cat>
          <c:val>
            <c:numRef>
              <c:f>AOPChartSheet_chart4!$D$2:$D$38</c:f>
              <c:numCache>
                <c:formatCode>General</c:formatCode>
                <c:ptCount val="37"/>
                <c:pt idx="0">
                  <c:v>62.5</c:v>
                </c:pt>
                <c:pt idx="1">
                  <c:v>60</c:v>
                </c:pt>
                <c:pt idx="2">
                  <c:v>55.9</c:v>
                </c:pt>
                <c:pt idx="3">
                  <c:v>59.4</c:v>
                </c:pt>
                <c:pt idx="4">
                  <c:v>60.1</c:v>
                </c:pt>
                <c:pt idx="5">
                  <c:v>59.2</c:v>
                </c:pt>
                <c:pt idx="6">
                  <c:v>66.7</c:v>
                </c:pt>
                <c:pt idx="7">
                  <c:v>75</c:v>
                </c:pt>
                <c:pt idx="8">
                  <c:v>70</c:v>
                </c:pt>
                <c:pt idx="9">
                  <c:v>76.900000000000006</c:v>
                </c:pt>
                <c:pt idx="10">
                  <c:v>85.7</c:v>
                </c:pt>
                <c:pt idx="11">
                  <c:v>86.6</c:v>
                </c:pt>
                <c:pt idx="12">
                  <c:v>86.3</c:v>
                </c:pt>
                <c:pt idx="13">
                  <c:v>86.7</c:v>
                </c:pt>
                <c:pt idx="14">
                  <c:v>86.6</c:v>
                </c:pt>
                <c:pt idx="15">
                  <c:v>86.7</c:v>
                </c:pt>
                <c:pt idx="16">
                  <c:v>88.9</c:v>
                </c:pt>
                <c:pt idx="17">
                  <c:v>88.4</c:v>
                </c:pt>
                <c:pt idx="18">
                  <c:v>85.7</c:v>
                </c:pt>
                <c:pt idx="19">
                  <c:v>83.8</c:v>
                </c:pt>
                <c:pt idx="20">
                  <c:v>83.3</c:v>
                </c:pt>
                <c:pt idx="21">
                  <c:v>80</c:v>
                </c:pt>
                <c:pt idx="22">
                  <c:v>83.3</c:v>
                </c:pt>
                <c:pt idx="23">
                  <c:v>88.8</c:v>
                </c:pt>
                <c:pt idx="24">
                  <c:v>100</c:v>
                </c:pt>
                <c:pt idx="25">
                  <c:v>100</c:v>
                </c:pt>
                <c:pt idx="26">
                  <c:v>91.7</c:v>
                </c:pt>
                <c:pt idx="27">
                  <c:v>92</c:v>
                </c:pt>
                <c:pt idx="28">
                  <c:v>96.4</c:v>
                </c:pt>
                <c:pt idx="29">
                  <c:v>100</c:v>
                </c:pt>
                <c:pt idx="30">
                  <c:v>96.2</c:v>
                </c:pt>
                <c:pt idx="31">
                  <c:v>94.1</c:v>
                </c:pt>
                <c:pt idx="32">
                  <c:v>94.5</c:v>
                </c:pt>
                <c:pt idx="33">
                  <c:v>93.9</c:v>
                </c:pt>
                <c:pt idx="34">
                  <c:v>96.3</c:v>
                </c:pt>
                <c:pt idx="35">
                  <c:v>100</c:v>
                </c:pt>
                <c:pt idx="36">
                  <c:v>100</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AOPChartSheet_chart4!$A$2:$A$35</c:f>
              <c:strCache>
                <c:ptCount val="34"/>
                <c:pt idx="0">
                  <c:v>2018-10</c:v>
                </c:pt>
                <c:pt idx="1">
                  <c:v>2018-11</c:v>
                </c:pt>
                <c:pt idx="2">
                  <c:v>2018-12</c:v>
                </c:pt>
                <c:pt idx="3">
                  <c:v>2019-04</c:v>
                </c:pt>
                <c:pt idx="4">
                  <c:v>2019-05</c:v>
                </c:pt>
                <c:pt idx="5">
                  <c:v>2019-06</c:v>
                </c:pt>
                <c:pt idx="6">
                  <c:v>2019-07</c:v>
                </c:pt>
                <c:pt idx="7">
                  <c:v>2019-08</c:v>
                </c:pt>
                <c:pt idx="8">
                  <c:v>2019-09</c:v>
                </c:pt>
                <c:pt idx="9">
                  <c:v>2019-10</c:v>
                </c:pt>
                <c:pt idx="10">
                  <c:v>2019-11</c:v>
                </c:pt>
                <c:pt idx="11">
                  <c:v>2019-12</c:v>
                </c:pt>
                <c:pt idx="12">
                  <c:v>2020-01</c:v>
                </c:pt>
                <c:pt idx="13">
                  <c:v>2020-02</c:v>
                </c:pt>
                <c:pt idx="14">
                  <c:v>2020-03</c:v>
                </c:pt>
                <c:pt idx="15">
                  <c:v>2020-04</c:v>
                </c:pt>
                <c:pt idx="16">
                  <c:v>2020-05</c:v>
                </c:pt>
                <c:pt idx="17">
                  <c:v>2020-06</c:v>
                </c:pt>
                <c:pt idx="18">
                  <c:v>2020-07</c:v>
                </c:pt>
                <c:pt idx="19">
                  <c:v>2020-08</c:v>
                </c:pt>
                <c:pt idx="20">
                  <c:v>2020-09</c:v>
                </c:pt>
                <c:pt idx="21">
                  <c:v>2020-10</c:v>
                </c:pt>
                <c:pt idx="22">
                  <c:v>2020-11</c:v>
                </c:pt>
                <c:pt idx="23">
                  <c:v>2020-12</c:v>
                </c:pt>
                <c:pt idx="24">
                  <c:v>2021-01</c:v>
                </c:pt>
                <c:pt idx="25">
                  <c:v>2021-02</c:v>
                </c:pt>
                <c:pt idx="26">
                  <c:v>2021-03</c:v>
                </c:pt>
                <c:pt idx="27">
                  <c:v>2021-04</c:v>
                </c:pt>
                <c:pt idx="28">
                  <c:v>2021-05</c:v>
                </c:pt>
                <c:pt idx="29">
                  <c:v>2021-06</c:v>
                </c:pt>
                <c:pt idx="30">
                  <c:v>2021-07</c:v>
                </c:pt>
                <c:pt idx="31">
                  <c:v>2021-08</c:v>
                </c:pt>
                <c:pt idx="32">
                  <c:v>2021-09</c:v>
                </c:pt>
                <c:pt idx="33">
                  <c:v>2021-10</c:v>
                </c:pt>
              </c:strCache>
            </c:strRef>
          </c:cat>
          <c:val>
            <c:numRef>
              <c:f>AOPChartSheet_chart4!$E$2:$E$38</c:f>
              <c:numCache>
                <c:formatCode>General</c:formatCode>
                <c:ptCount val="37"/>
                <c:pt idx="0">
                  <c:v>57.9</c:v>
                </c:pt>
                <c:pt idx="1">
                  <c:v>56.2</c:v>
                </c:pt>
                <c:pt idx="2">
                  <c:v>50</c:v>
                </c:pt>
                <c:pt idx="3">
                  <c:v>59.8</c:v>
                </c:pt>
                <c:pt idx="4">
                  <c:v>58.7</c:v>
                </c:pt>
                <c:pt idx="5">
                  <c:v>56.3</c:v>
                </c:pt>
                <c:pt idx="6">
                  <c:v>76</c:v>
                </c:pt>
                <c:pt idx="7">
                  <c:v>77.8</c:v>
                </c:pt>
                <c:pt idx="8">
                  <c:v>66.7</c:v>
                </c:pt>
                <c:pt idx="9">
                  <c:v>75</c:v>
                </c:pt>
                <c:pt idx="10">
                  <c:v>83.3</c:v>
                </c:pt>
                <c:pt idx="11">
                  <c:v>88.9</c:v>
                </c:pt>
                <c:pt idx="12">
                  <c:v>88</c:v>
                </c:pt>
                <c:pt idx="13">
                  <c:v>87.5</c:v>
                </c:pt>
                <c:pt idx="14">
                  <c:v>85.7</c:v>
                </c:pt>
                <c:pt idx="15">
                  <c:v>86.7</c:v>
                </c:pt>
                <c:pt idx="16">
                  <c:v>95.2</c:v>
                </c:pt>
                <c:pt idx="17">
                  <c:v>100</c:v>
                </c:pt>
                <c:pt idx="18">
                  <c:v>86.9</c:v>
                </c:pt>
                <c:pt idx="19">
                  <c:v>84.6</c:v>
                </c:pt>
                <c:pt idx="20">
                  <c:v>83.3</c:v>
                </c:pt>
                <c:pt idx="21">
                  <c:v>85.7</c:v>
                </c:pt>
                <c:pt idx="22">
                  <c:v>86.7</c:v>
                </c:pt>
                <c:pt idx="23">
                  <c:v>92.9</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70.3</c:v>
                </c:pt>
                <c:pt idx="1">
                  <c:v>70.3</c:v>
                </c:pt>
                <c:pt idx="2">
                  <c:v>70.3</c:v>
                </c:pt>
                <c:pt idx="3">
                  <c:v>70.3</c:v>
                </c:pt>
                <c:pt idx="4">
                  <c:v>70.3</c:v>
                </c:pt>
                <c:pt idx="5">
                  <c:v>70.3</c:v>
                </c:pt>
                <c:pt idx="6">
                  <c:v>70.3</c:v>
                </c:pt>
                <c:pt idx="7">
                  <c:v>70.3</c:v>
                </c:pt>
                <c:pt idx="8">
                  <c:v>70.3</c:v>
                </c:pt>
                <c:pt idx="9">
                  <c:v>70.3</c:v>
                </c:pt>
                <c:pt idx="10">
                  <c:v>70.3</c:v>
                </c:pt>
                <c:pt idx="11">
                  <c:v>70.3</c:v>
                </c:pt>
                <c:pt idx="12">
                  <c:v>70.3</c:v>
                </c:pt>
                <c:pt idx="13">
                  <c:v>70.3</c:v>
                </c:pt>
                <c:pt idx="14">
                  <c:v>70.3</c:v>
                </c:pt>
                <c:pt idx="15">
                  <c:v>70.3</c:v>
                </c:pt>
                <c:pt idx="16">
                  <c:v>70.3</c:v>
                </c:pt>
                <c:pt idx="17">
                  <c:v>70.3</c:v>
                </c:pt>
                <c:pt idx="18">
                  <c:v>70.3</c:v>
                </c:pt>
                <c:pt idx="19">
                  <c:v>70.3</c:v>
                </c:pt>
                <c:pt idx="20">
                  <c:v>70.3</c:v>
                </c:pt>
                <c:pt idx="21">
                  <c:v>70.3</c:v>
                </c:pt>
                <c:pt idx="22">
                  <c:v>70.3</c:v>
                </c:pt>
                <c:pt idx="23">
                  <c:v>70.3</c:v>
                </c:pt>
                <c:pt idx="24">
                  <c:v>70.3</c:v>
                </c:pt>
                <c:pt idx="25">
                  <c:v>70.3</c:v>
                </c:pt>
                <c:pt idx="26">
                  <c:v>70.3</c:v>
                </c:pt>
                <c:pt idx="27">
                  <c:v>70.3</c:v>
                </c:pt>
                <c:pt idx="28">
                  <c:v>70.3</c:v>
                </c:pt>
                <c:pt idx="29">
                  <c:v>70.3</c:v>
                </c:pt>
                <c:pt idx="30">
                  <c:v>70.3</c:v>
                </c:pt>
                <c:pt idx="31">
                  <c:v>70.3</c:v>
                </c:pt>
                <c:pt idx="32">
                  <c:v>70.3</c:v>
                </c:pt>
                <c:pt idx="33">
                  <c:v>70.3</c:v>
                </c:pt>
                <c:pt idx="34">
                  <c:v>70.3</c:v>
                </c:pt>
                <c:pt idx="35">
                  <c:v>70.3</c:v>
                </c:pt>
                <c:pt idx="36">
                  <c:v>70.3</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26.8</c:v>
                </c:pt>
                <c:pt idx="1">
                  <c:v>26.5</c:v>
                </c:pt>
                <c:pt idx="2">
                  <c:v>26.4</c:v>
                </c:pt>
                <c:pt idx="3">
                  <c:v>26.4</c:v>
                </c:pt>
                <c:pt idx="4">
                  <c:v>26.2</c:v>
                </c:pt>
                <c:pt idx="5">
                  <c:v>26.7</c:v>
                </c:pt>
                <c:pt idx="6">
                  <c:v>26.9</c:v>
                </c:pt>
                <c:pt idx="7">
                  <c:v>25.1</c:v>
                </c:pt>
                <c:pt idx="8">
                  <c:v>25.1</c:v>
                </c:pt>
                <c:pt idx="9">
                  <c:v>25.1</c:v>
                </c:pt>
                <c:pt idx="10">
                  <c:v>25</c:v>
                </c:pt>
                <c:pt idx="11">
                  <c:v>25.5</c:v>
                </c:pt>
                <c:pt idx="12">
                  <c:v>25.2</c:v>
                </c:pt>
                <c:pt idx="13">
                  <c:v>25</c:v>
                </c:pt>
                <c:pt idx="14">
                  <c:v>25.1</c:v>
                </c:pt>
                <c:pt idx="15">
                  <c:v>25.5</c:v>
                </c:pt>
                <c:pt idx="16">
                  <c:v>25.1</c:v>
                </c:pt>
                <c:pt idx="17">
                  <c:v>25.1</c:v>
                </c:pt>
                <c:pt idx="18">
                  <c:v>25.1</c:v>
                </c:pt>
                <c:pt idx="19">
                  <c:v>25.1</c:v>
                </c:pt>
                <c:pt idx="20">
                  <c:v>25.1</c:v>
                </c:pt>
                <c:pt idx="21">
                  <c:v>25.1</c:v>
                </c:pt>
                <c:pt idx="22">
                  <c:v>25.2</c:v>
                </c:pt>
                <c:pt idx="23">
                  <c:v>25.2</c:v>
                </c:pt>
                <c:pt idx="24">
                  <c:v>25.1</c:v>
                </c:pt>
                <c:pt idx="25">
                  <c:v>25.1</c:v>
                </c:pt>
                <c:pt idx="26">
                  <c:v>25.1</c:v>
                </c:pt>
                <c:pt idx="27">
                  <c:v>25.1</c:v>
                </c:pt>
                <c:pt idx="28">
                  <c:v>25.1</c:v>
                </c:pt>
                <c:pt idx="29">
                  <c:v>25.1</c:v>
                </c:pt>
                <c:pt idx="30">
                  <c:v>25.1</c:v>
                </c:pt>
                <c:pt idx="31">
                  <c:v>25.1</c:v>
                </c:pt>
                <c:pt idx="32">
                  <c:v>25.1</c:v>
                </c:pt>
                <c:pt idx="33">
                  <c:v>26.3</c:v>
                </c:pt>
                <c:pt idx="34">
                  <c:v>26.4</c:v>
                </c:pt>
                <c:pt idx="35">
                  <c:v>26.3</c:v>
                </c:pt>
                <c:pt idx="36">
                  <c:v>26.4</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25.1</c:v>
                </c:pt>
                <c:pt idx="1">
                  <c:v>24.1</c:v>
                </c:pt>
                <c:pt idx="2">
                  <c:v>24.1</c:v>
                </c:pt>
                <c:pt idx="3">
                  <c:v>24.1</c:v>
                </c:pt>
                <c:pt idx="4">
                  <c:v>23.8</c:v>
                </c:pt>
                <c:pt idx="5">
                  <c:v>25.1</c:v>
                </c:pt>
                <c:pt idx="6">
                  <c:v>25.1</c:v>
                </c:pt>
                <c:pt idx="7">
                  <c:v>20</c:v>
                </c:pt>
                <c:pt idx="8">
                  <c:v>19.899999999999999</c:v>
                </c:pt>
                <c:pt idx="9">
                  <c:v>20</c:v>
                </c:pt>
                <c:pt idx="10">
                  <c:v>19.8</c:v>
                </c:pt>
                <c:pt idx="11">
                  <c:v>20.6</c:v>
                </c:pt>
                <c:pt idx="12">
                  <c:v>20.7</c:v>
                </c:pt>
                <c:pt idx="13">
                  <c:v>20.399999999999999</c:v>
                </c:pt>
                <c:pt idx="14">
                  <c:v>20.5</c:v>
                </c:pt>
                <c:pt idx="15">
                  <c:v>21.1</c:v>
                </c:pt>
                <c:pt idx="16">
                  <c:v>20.7</c:v>
                </c:pt>
                <c:pt idx="17">
                  <c:v>20.6</c:v>
                </c:pt>
                <c:pt idx="18">
                  <c:v>20.8</c:v>
                </c:pt>
                <c:pt idx="19">
                  <c:v>20.7</c:v>
                </c:pt>
                <c:pt idx="20">
                  <c:v>20.8</c:v>
                </c:pt>
                <c:pt idx="21">
                  <c:v>20.9</c:v>
                </c:pt>
                <c:pt idx="22">
                  <c:v>20.9</c:v>
                </c:pt>
                <c:pt idx="23">
                  <c:v>20.9</c:v>
                </c:pt>
                <c:pt idx="24">
                  <c:v>21</c:v>
                </c:pt>
                <c:pt idx="25">
                  <c:v>20.9</c:v>
                </c:pt>
                <c:pt idx="26">
                  <c:v>20.9</c:v>
                </c:pt>
                <c:pt idx="27">
                  <c:v>20.9</c:v>
                </c:pt>
                <c:pt idx="28">
                  <c:v>20.9</c:v>
                </c:pt>
                <c:pt idx="29">
                  <c:v>20.9</c:v>
                </c:pt>
                <c:pt idx="30">
                  <c:v>20.9</c:v>
                </c:pt>
                <c:pt idx="31">
                  <c:v>21</c:v>
                </c:pt>
                <c:pt idx="32">
                  <c:v>21.1</c:v>
                </c:pt>
                <c:pt idx="33">
                  <c:v>24.5</c:v>
                </c:pt>
                <c:pt idx="34">
                  <c:v>24.5</c:v>
                </c:pt>
                <c:pt idx="35">
                  <c:v>24.5</c:v>
                </c:pt>
                <c:pt idx="36">
                  <c:v>24.5</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28.5</c:v>
                </c:pt>
                <c:pt idx="1">
                  <c:v>27.3</c:v>
                </c:pt>
                <c:pt idx="2">
                  <c:v>27.3</c:v>
                </c:pt>
                <c:pt idx="3">
                  <c:v>27.1</c:v>
                </c:pt>
                <c:pt idx="4">
                  <c:v>27</c:v>
                </c:pt>
                <c:pt idx="5">
                  <c:v>28.5</c:v>
                </c:pt>
                <c:pt idx="6">
                  <c:v>28.6</c:v>
                </c:pt>
                <c:pt idx="7">
                  <c:v>24.3</c:v>
                </c:pt>
                <c:pt idx="8">
                  <c:v>24.2</c:v>
                </c:pt>
                <c:pt idx="9">
                  <c:v>24.1</c:v>
                </c:pt>
                <c:pt idx="10">
                  <c:v>24</c:v>
                </c:pt>
                <c:pt idx="11">
                  <c:v>24.6</c:v>
                </c:pt>
                <c:pt idx="12">
                  <c:v>24.9</c:v>
                </c:pt>
                <c:pt idx="13">
                  <c:v>24.4</c:v>
                </c:pt>
                <c:pt idx="14">
                  <c:v>24.4</c:v>
                </c:pt>
                <c:pt idx="15">
                  <c:v>25.1</c:v>
                </c:pt>
                <c:pt idx="16">
                  <c:v>24.7</c:v>
                </c:pt>
                <c:pt idx="17">
                  <c:v>24.6</c:v>
                </c:pt>
                <c:pt idx="18">
                  <c:v>24.7</c:v>
                </c:pt>
                <c:pt idx="19">
                  <c:v>24.7</c:v>
                </c:pt>
                <c:pt idx="20">
                  <c:v>24.7</c:v>
                </c:pt>
                <c:pt idx="21">
                  <c:v>24.9</c:v>
                </c:pt>
                <c:pt idx="22">
                  <c:v>24.8</c:v>
                </c:pt>
                <c:pt idx="23">
                  <c:v>24.7</c:v>
                </c:pt>
                <c:pt idx="24">
                  <c:v>24.9</c:v>
                </c:pt>
                <c:pt idx="25">
                  <c:v>24.9</c:v>
                </c:pt>
                <c:pt idx="26">
                  <c:v>24.9</c:v>
                </c:pt>
                <c:pt idx="27">
                  <c:v>24.9</c:v>
                </c:pt>
                <c:pt idx="28">
                  <c:v>24.8</c:v>
                </c:pt>
                <c:pt idx="29">
                  <c:v>24.9</c:v>
                </c:pt>
                <c:pt idx="30">
                  <c:v>24.9</c:v>
                </c:pt>
                <c:pt idx="31">
                  <c:v>25</c:v>
                </c:pt>
                <c:pt idx="32">
                  <c:v>25.1</c:v>
                </c:pt>
                <c:pt idx="33">
                  <c:v>28.4</c:v>
                </c:pt>
                <c:pt idx="34">
                  <c:v>28.3</c:v>
                </c:pt>
                <c:pt idx="35">
                  <c:v>28.3</c:v>
                </c:pt>
                <c:pt idx="36">
                  <c:v>28.3</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1.37</c:v>
                </c:pt>
                <c:pt idx="1">
                  <c:v>1.54</c:v>
                </c:pt>
                <c:pt idx="2">
                  <c:v>1.31</c:v>
                </c:pt>
                <c:pt idx="3">
                  <c:v>1.1000000000000001</c:v>
                </c:pt>
                <c:pt idx="4">
                  <c:v>0.96</c:v>
                </c:pt>
                <c:pt idx="5">
                  <c:v>0.72</c:v>
                </c:pt>
                <c:pt idx="6">
                  <c:v>0.78</c:v>
                </c:pt>
                <c:pt idx="7">
                  <c:v>0.99</c:v>
                </c:pt>
                <c:pt idx="8">
                  <c:v>1.33</c:v>
                </c:pt>
                <c:pt idx="9">
                  <c:v>1.4</c:v>
                </c:pt>
                <c:pt idx="10">
                  <c:v>1.97</c:v>
                </c:pt>
                <c:pt idx="11">
                  <c:v>1.82</c:v>
                </c:pt>
                <c:pt idx="12">
                  <c:v>1.8</c:v>
                </c:pt>
                <c:pt idx="13">
                  <c:v>1.63</c:v>
                </c:pt>
                <c:pt idx="14">
                  <c:v>1.46</c:v>
                </c:pt>
                <c:pt idx="15">
                  <c:v>1.56</c:v>
                </c:pt>
                <c:pt idx="16">
                  <c:v>0.98</c:v>
                </c:pt>
                <c:pt idx="17">
                  <c:v>1.1499999999999999</c:v>
                </c:pt>
                <c:pt idx="18">
                  <c:v>1.57</c:v>
                </c:pt>
                <c:pt idx="19">
                  <c:v>1.95</c:v>
                </c:pt>
                <c:pt idx="20">
                  <c:v>2.1800000000000002</c:v>
                </c:pt>
                <c:pt idx="21">
                  <c:v>2.19</c:v>
                </c:pt>
                <c:pt idx="22">
                  <c:v>2.63</c:v>
                </c:pt>
                <c:pt idx="23">
                  <c:v>3.02</c:v>
                </c:pt>
                <c:pt idx="24">
                  <c:v>3.99</c:v>
                </c:pt>
                <c:pt idx="25">
                  <c:v>4.47</c:v>
                </c:pt>
                <c:pt idx="26">
                  <c:v>4.07</c:v>
                </c:pt>
                <c:pt idx="27">
                  <c:v>3.65</c:v>
                </c:pt>
                <c:pt idx="28">
                  <c:v>3.72</c:v>
                </c:pt>
                <c:pt idx="29">
                  <c:v>3.75</c:v>
                </c:pt>
                <c:pt idx="30">
                  <c:v>3.9</c:v>
                </c:pt>
                <c:pt idx="31">
                  <c:v>3.64</c:v>
                </c:pt>
                <c:pt idx="32">
                  <c:v>3.94</c:v>
                </c:pt>
                <c:pt idx="33">
                  <c:v>3.73</c:v>
                </c:pt>
                <c:pt idx="34">
                  <c:v>3.24</c:v>
                </c:pt>
                <c:pt idx="35">
                  <c:v>2.73</c:v>
                </c:pt>
                <c:pt idx="36">
                  <c:v>2.2999999999999998</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0.98</c:v>
                </c:pt>
                <c:pt idx="1">
                  <c:v>0.96</c:v>
                </c:pt>
                <c:pt idx="2">
                  <c:v>1.19</c:v>
                </c:pt>
                <c:pt idx="3">
                  <c:v>1.34</c:v>
                </c:pt>
                <c:pt idx="4">
                  <c:v>1.1299999999999999</c:v>
                </c:pt>
                <c:pt idx="5">
                  <c:v>1.0900000000000001</c:v>
                </c:pt>
                <c:pt idx="6">
                  <c:v>1.05</c:v>
                </c:pt>
                <c:pt idx="7">
                  <c:v>1.24</c:v>
                </c:pt>
                <c:pt idx="8">
                  <c:v>1.1599999999999999</c:v>
                </c:pt>
                <c:pt idx="9">
                  <c:v>1.31</c:v>
                </c:pt>
                <c:pt idx="10">
                  <c:v>1.88</c:v>
                </c:pt>
                <c:pt idx="11">
                  <c:v>1.06</c:v>
                </c:pt>
                <c:pt idx="12">
                  <c:v>1.25</c:v>
                </c:pt>
                <c:pt idx="13">
                  <c:v>1.31</c:v>
                </c:pt>
                <c:pt idx="14">
                  <c:v>1.31</c:v>
                </c:pt>
                <c:pt idx="15">
                  <c:v>1.39</c:v>
                </c:pt>
                <c:pt idx="16">
                  <c:v>1.3</c:v>
                </c:pt>
                <c:pt idx="17">
                  <c:v>1.24</c:v>
                </c:pt>
                <c:pt idx="18">
                  <c:v>1.78</c:v>
                </c:pt>
                <c:pt idx="19">
                  <c:v>1.85</c:v>
                </c:pt>
                <c:pt idx="20">
                  <c:v>1.73</c:v>
                </c:pt>
                <c:pt idx="21">
                  <c:v>1.57</c:v>
                </c:pt>
                <c:pt idx="22">
                  <c:v>1.64</c:v>
                </c:pt>
                <c:pt idx="23">
                  <c:v>1.75</c:v>
                </c:pt>
                <c:pt idx="24">
                  <c:v>2</c:v>
                </c:pt>
                <c:pt idx="25">
                  <c:v>2.02</c:v>
                </c:pt>
                <c:pt idx="26">
                  <c:v>2.15</c:v>
                </c:pt>
                <c:pt idx="27">
                  <c:v>2.21</c:v>
                </c:pt>
                <c:pt idx="28">
                  <c:v>2.1800000000000002</c:v>
                </c:pt>
                <c:pt idx="29">
                  <c:v>2.14</c:v>
                </c:pt>
                <c:pt idx="30">
                  <c:v>2.11</c:v>
                </c:pt>
                <c:pt idx="31">
                  <c:v>1.91</c:v>
                </c:pt>
                <c:pt idx="32">
                  <c:v>1.96</c:v>
                </c:pt>
                <c:pt idx="33">
                  <c:v>1.96</c:v>
                </c:pt>
                <c:pt idx="34">
                  <c:v>1.83</c:v>
                </c:pt>
                <c:pt idx="35">
                  <c:v>1.6</c:v>
                </c:pt>
                <c:pt idx="36">
                  <c:v>1.54</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0.92</c:v>
                </c:pt>
                <c:pt idx="1">
                  <c:v>0.87</c:v>
                </c:pt>
                <c:pt idx="2">
                  <c:v>1.04</c:v>
                </c:pt>
                <c:pt idx="3">
                  <c:v>1.1599999999999999</c:v>
                </c:pt>
                <c:pt idx="4">
                  <c:v>1.02</c:v>
                </c:pt>
                <c:pt idx="5">
                  <c:v>1.04</c:v>
                </c:pt>
                <c:pt idx="6">
                  <c:v>1</c:v>
                </c:pt>
                <c:pt idx="7">
                  <c:v>1.2</c:v>
                </c:pt>
                <c:pt idx="8">
                  <c:v>1.1200000000000001</c:v>
                </c:pt>
                <c:pt idx="9">
                  <c:v>1.24</c:v>
                </c:pt>
                <c:pt idx="10">
                  <c:v>1.8</c:v>
                </c:pt>
                <c:pt idx="11">
                  <c:v>1.06</c:v>
                </c:pt>
                <c:pt idx="12">
                  <c:v>1.23</c:v>
                </c:pt>
                <c:pt idx="13">
                  <c:v>1.25</c:v>
                </c:pt>
                <c:pt idx="14">
                  <c:v>1.27</c:v>
                </c:pt>
                <c:pt idx="15">
                  <c:v>1.33</c:v>
                </c:pt>
                <c:pt idx="16">
                  <c:v>1.28</c:v>
                </c:pt>
                <c:pt idx="17">
                  <c:v>1.28</c:v>
                </c:pt>
                <c:pt idx="18">
                  <c:v>1.77</c:v>
                </c:pt>
                <c:pt idx="19">
                  <c:v>1.71</c:v>
                </c:pt>
                <c:pt idx="20">
                  <c:v>1.54</c:v>
                </c:pt>
                <c:pt idx="21">
                  <c:v>1.34</c:v>
                </c:pt>
                <c:pt idx="22">
                  <c:v>1.33</c:v>
                </c:pt>
                <c:pt idx="23">
                  <c:v>1.3</c:v>
                </c:pt>
                <c:pt idx="24">
                  <c:v>1.43</c:v>
                </c:pt>
                <c:pt idx="25">
                  <c:v>1.43</c:v>
                </c:pt>
                <c:pt idx="26">
                  <c:v>1.55</c:v>
                </c:pt>
                <c:pt idx="27">
                  <c:v>1.45</c:v>
                </c:pt>
                <c:pt idx="28">
                  <c:v>1.57</c:v>
                </c:pt>
                <c:pt idx="29">
                  <c:v>1.5</c:v>
                </c:pt>
                <c:pt idx="30">
                  <c:v>1.5</c:v>
                </c:pt>
                <c:pt idx="31">
                  <c:v>1.28</c:v>
                </c:pt>
                <c:pt idx="32">
                  <c:v>1.42</c:v>
                </c:pt>
                <c:pt idx="33">
                  <c:v>1.36</c:v>
                </c:pt>
                <c:pt idx="34">
                  <c:v>1.24</c:v>
                </c:pt>
                <c:pt idx="35">
                  <c:v>1.07</c:v>
                </c:pt>
                <c:pt idx="36">
                  <c:v>1.08</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1.31</c:v>
                </c:pt>
                <c:pt idx="1">
                  <c:v>1.24</c:v>
                </c:pt>
                <c:pt idx="2">
                  <c:v>1.39</c:v>
                </c:pt>
                <c:pt idx="3">
                  <c:v>1.52</c:v>
                </c:pt>
                <c:pt idx="4">
                  <c:v>1.34</c:v>
                </c:pt>
                <c:pt idx="5">
                  <c:v>1.4</c:v>
                </c:pt>
                <c:pt idx="6">
                  <c:v>1.36</c:v>
                </c:pt>
                <c:pt idx="7">
                  <c:v>1.57</c:v>
                </c:pt>
                <c:pt idx="8">
                  <c:v>1.48</c:v>
                </c:pt>
                <c:pt idx="9">
                  <c:v>1.51</c:v>
                </c:pt>
                <c:pt idx="10">
                  <c:v>1.68</c:v>
                </c:pt>
                <c:pt idx="11">
                  <c:v>1.1399999999999999</c:v>
                </c:pt>
                <c:pt idx="12">
                  <c:v>1.39</c:v>
                </c:pt>
                <c:pt idx="13">
                  <c:v>1.43</c:v>
                </c:pt>
                <c:pt idx="14">
                  <c:v>1.49</c:v>
                </c:pt>
                <c:pt idx="15">
                  <c:v>1.46</c:v>
                </c:pt>
                <c:pt idx="16">
                  <c:v>1.45</c:v>
                </c:pt>
                <c:pt idx="17">
                  <c:v>1.4</c:v>
                </c:pt>
                <c:pt idx="18">
                  <c:v>1.78</c:v>
                </c:pt>
                <c:pt idx="19">
                  <c:v>1.63</c:v>
                </c:pt>
                <c:pt idx="20">
                  <c:v>1.27</c:v>
                </c:pt>
                <c:pt idx="21">
                  <c:v>1.08</c:v>
                </c:pt>
                <c:pt idx="22">
                  <c:v>0.95</c:v>
                </c:pt>
                <c:pt idx="23">
                  <c:v>0.85</c:v>
                </c:pt>
                <c:pt idx="24">
                  <c:v>0.86</c:v>
                </c:pt>
                <c:pt idx="25">
                  <c:v>0.85</c:v>
                </c:pt>
                <c:pt idx="26">
                  <c:v>0.92</c:v>
                </c:pt>
                <c:pt idx="27">
                  <c:v>0.9</c:v>
                </c:pt>
                <c:pt idx="28">
                  <c:v>0.88</c:v>
                </c:pt>
                <c:pt idx="29">
                  <c:v>0.87</c:v>
                </c:pt>
                <c:pt idx="30">
                  <c:v>0.91</c:v>
                </c:pt>
                <c:pt idx="31">
                  <c:v>0.87</c:v>
                </c:pt>
                <c:pt idx="32">
                  <c:v>0.85</c:v>
                </c:pt>
                <c:pt idx="33">
                  <c:v>0.78</c:v>
                </c:pt>
                <c:pt idx="34">
                  <c:v>0.74</c:v>
                </c:pt>
                <c:pt idx="35">
                  <c:v>0.68</c:v>
                </c:pt>
                <c:pt idx="36">
                  <c:v>0.66</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2.82</c:v>
                </c:pt>
                <c:pt idx="1">
                  <c:v>2.98</c:v>
                </c:pt>
                <c:pt idx="2">
                  <c:v>2.93</c:v>
                </c:pt>
                <c:pt idx="3">
                  <c:v>3.75</c:v>
                </c:pt>
                <c:pt idx="4">
                  <c:v>3.8</c:v>
                </c:pt>
                <c:pt idx="5">
                  <c:v>3.1</c:v>
                </c:pt>
                <c:pt idx="6">
                  <c:v>3.13</c:v>
                </c:pt>
                <c:pt idx="7">
                  <c:v>3.16</c:v>
                </c:pt>
                <c:pt idx="8">
                  <c:v>3.08</c:v>
                </c:pt>
                <c:pt idx="9">
                  <c:v>3.2</c:v>
                </c:pt>
                <c:pt idx="10">
                  <c:v>2.88</c:v>
                </c:pt>
                <c:pt idx="11">
                  <c:v>2.65</c:v>
                </c:pt>
                <c:pt idx="12">
                  <c:v>2.56</c:v>
                </c:pt>
                <c:pt idx="13">
                  <c:v>2.4</c:v>
                </c:pt>
                <c:pt idx="14">
                  <c:v>2.61</c:v>
                </c:pt>
                <c:pt idx="15">
                  <c:v>2.74</c:v>
                </c:pt>
                <c:pt idx="16">
                  <c:v>2.95</c:v>
                </c:pt>
                <c:pt idx="17">
                  <c:v>2.94</c:v>
                </c:pt>
                <c:pt idx="18">
                  <c:v>2.95</c:v>
                </c:pt>
                <c:pt idx="19">
                  <c:v>2.82</c:v>
                </c:pt>
                <c:pt idx="20">
                  <c:v>2.82</c:v>
                </c:pt>
                <c:pt idx="21">
                  <c:v>2.93</c:v>
                </c:pt>
                <c:pt idx="22">
                  <c:v>2.81</c:v>
                </c:pt>
                <c:pt idx="23">
                  <c:v>2.83</c:v>
                </c:pt>
                <c:pt idx="24">
                  <c:v>2.75</c:v>
                </c:pt>
                <c:pt idx="25">
                  <c:v>2.88</c:v>
                </c:pt>
                <c:pt idx="26">
                  <c:v>2.83</c:v>
                </c:pt>
                <c:pt idx="27">
                  <c:v>2.74</c:v>
                </c:pt>
                <c:pt idx="28">
                  <c:v>2.62</c:v>
                </c:pt>
                <c:pt idx="29">
                  <c:v>2.48</c:v>
                </c:pt>
                <c:pt idx="30">
                  <c:v>2.29</c:v>
                </c:pt>
                <c:pt idx="31">
                  <c:v>2.44</c:v>
                </c:pt>
                <c:pt idx="32">
                  <c:v>2.5099999999999998</c:v>
                </c:pt>
                <c:pt idx="33">
                  <c:v>2.37</c:v>
                </c:pt>
                <c:pt idx="34">
                  <c:v>2.58</c:v>
                </c:pt>
                <c:pt idx="35">
                  <c:v>2.56</c:v>
                </c:pt>
                <c:pt idx="36">
                  <c:v>2.5299999999999998</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3.25</c:v>
                </c:pt>
                <c:pt idx="1">
                  <c:v>3.3</c:v>
                </c:pt>
                <c:pt idx="2">
                  <c:v>3.27</c:v>
                </c:pt>
                <c:pt idx="3">
                  <c:v>3.37</c:v>
                </c:pt>
                <c:pt idx="4">
                  <c:v>3.39</c:v>
                </c:pt>
                <c:pt idx="5">
                  <c:v>3.41</c:v>
                </c:pt>
                <c:pt idx="6">
                  <c:v>3.45</c:v>
                </c:pt>
                <c:pt idx="7">
                  <c:v>3.49</c:v>
                </c:pt>
                <c:pt idx="8">
                  <c:v>3.45</c:v>
                </c:pt>
                <c:pt idx="9">
                  <c:v>3.42</c:v>
                </c:pt>
                <c:pt idx="10">
                  <c:v>3.43</c:v>
                </c:pt>
                <c:pt idx="11">
                  <c:v>3.38</c:v>
                </c:pt>
                <c:pt idx="12">
                  <c:v>3.42</c:v>
                </c:pt>
                <c:pt idx="13">
                  <c:v>3.41</c:v>
                </c:pt>
                <c:pt idx="14">
                  <c:v>3.34</c:v>
                </c:pt>
                <c:pt idx="15">
                  <c:v>3.32</c:v>
                </c:pt>
                <c:pt idx="16">
                  <c:v>3.31</c:v>
                </c:pt>
                <c:pt idx="17">
                  <c:v>3.3</c:v>
                </c:pt>
                <c:pt idx="18">
                  <c:v>3.28</c:v>
                </c:pt>
                <c:pt idx="19">
                  <c:v>3.32</c:v>
                </c:pt>
                <c:pt idx="20">
                  <c:v>3.31</c:v>
                </c:pt>
                <c:pt idx="21">
                  <c:v>3.3</c:v>
                </c:pt>
                <c:pt idx="22">
                  <c:v>3.2</c:v>
                </c:pt>
                <c:pt idx="23">
                  <c:v>3.15</c:v>
                </c:pt>
                <c:pt idx="24">
                  <c:v>3.17</c:v>
                </c:pt>
                <c:pt idx="25">
                  <c:v>3.18</c:v>
                </c:pt>
                <c:pt idx="26">
                  <c:v>3.16</c:v>
                </c:pt>
                <c:pt idx="27">
                  <c:v>3.1</c:v>
                </c:pt>
                <c:pt idx="28">
                  <c:v>3.09</c:v>
                </c:pt>
                <c:pt idx="29">
                  <c:v>3.04</c:v>
                </c:pt>
                <c:pt idx="30">
                  <c:v>3.01</c:v>
                </c:pt>
                <c:pt idx="31">
                  <c:v>2.98</c:v>
                </c:pt>
                <c:pt idx="32">
                  <c:v>2.95</c:v>
                </c:pt>
                <c:pt idx="33">
                  <c:v>2.9</c:v>
                </c:pt>
                <c:pt idx="34">
                  <c:v>3.18</c:v>
                </c:pt>
                <c:pt idx="35">
                  <c:v>3.15</c:v>
                </c:pt>
                <c:pt idx="36">
                  <c:v>3.13</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3.65</c:v>
                </c:pt>
                <c:pt idx="1">
                  <c:v>3.7</c:v>
                </c:pt>
                <c:pt idx="2">
                  <c:v>3.66</c:v>
                </c:pt>
                <c:pt idx="3">
                  <c:v>3.78</c:v>
                </c:pt>
                <c:pt idx="4">
                  <c:v>3.76</c:v>
                </c:pt>
                <c:pt idx="5">
                  <c:v>3.76</c:v>
                </c:pt>
                <c:pt idx="6">
                  <c:v>3.79</c:v>
                </c:pt>
                <c:pt idx="7">
                  <c:v>3.87</c:v>
                </c:pt>
                <c:pt idx="8">
                  <c:v>3.86</c:v>
                </c:pt>
                <c:pt idx="9">
                  <c:v>3.8</c:v>
                </c:pt>
                <c:pt idx="10">
                  <c:v>3.81</c:v>
                </c:pt>
                <c:pt idx="11">
                  <c:v>3.75</c:v>
                </c:pt>
                <c:pt idx="12">
                  <c:v>3.78</c:v>
                </c:pt>
                <c:pt idx="13">
                  <c:v>3.81</c:v>
                </c:pt>
                <c:pt idx="14">
                  <c:v>3.74</c:v>
                </c:pt>
                <c:pt idx="15">
                  <c:v>3.71</c:v>
                </c:pt>
                <c:pt idx="16">
                  <c:v>3.75</c:v>
                </c:pt>
                <c:pt idx="17">
                  <c:v>3.74</c:v>
                </c:pt>
                <c:pt idx="18">
                  <c:v>3.71</c:v>
                </c:pt>
                <c:pt idx="19">
                  <c:v>3.69</c:v>
                </c:pt>
                <c:pt idx="20">
                  <c:v>3.68</c:v>
                </c:pt>
                <c:pt idx="21">
                  <c:v>3.69</c:v>
                </c:pt>
                <c:pt idx="22">
                  <c:v>3.6</c:v>
                </c:pt>
                <c:pt idx="23">
                  <c:v>3.6</c:v>
                </c:pt>
                <c:pt idx="24">
                  <c:v>3.56</c:v>
                </c:pt>
                <c:pt idx="25">
                  <c:v>3.54</c:v>
                </c:pt>
                <c:pt idx="26">
                  <c:v>3.52</c:v>
                </c:pt>
                <c:pt idx="27">
                  <c:v>3.46</c:v>
                </c:pt>
                <c:pt idx="28">
                  <c:v>3.4</c:v>
                </c:pt>
                <c:pt idx="29">
                  <c:v>3.35</c:v>
                </c:pt>
                <c:pt idx="30">
                  <c:v>3.3</c:v>
                </c:pt>
                <c:pt idx="31">
                  <c:v>3.3</c:v>
                </c:pt>
                <c:pt idx="32">
                  <c:v>3.29</c:v>
                </c:pt>
                <c:pt idx="33">
                  <c:v>3.22</c:v>
                </c:pt>
                <c:pt idx="34">
                  <c:v>3.5</c:v>
                </c:pt>
                <c:pt idx="35">
                  <c:v>3.48</c:v>
                </c:pt>
                <c:pt idx="36">
                  <c:v>3.43</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4.2</c:v>
                </c:pt>
                <c:pt idx="1">
                  <c:v>4.3</c:v>
                </c:pt>
                <c:pt idx="2">
                  <c:v>4.3</c:v>
                </c:pt>
                <c:pt idx="3">
                  <c:v>4.3600000000000003</c:v>
                </c:pt>
                <c:pt idx="4">
                  <c:v>4.37</c:v>
                </c:pt>
                <c:pt idx="5">
                  <c:v>4.32</c:v>
                </c:pt>
                <c:pt idx="6">
                  <c:v>4.32</c:v>
                </c:pt>
                <c:pt idx="7">
                  <c:v>4.37</c:v>
                </c:pt>
                <c:pt idx="8">
                  <c:v>4.3600000000000003</c:v>
                </c:pt>
                <c:pt idx="9">
                  <c:v>4.3600000000000003</c:v>
                </c:pt>
                <c:pt idx="10">
                  <c:v>4.3600000000000003</c:v>
                </c:pt>
                <c:pt idx="11">
                  <c:v>4.34</c:v>
                </c:pt>
                <c:pt idx="12">
                  <c:v>4.37</c:v>
                </c:pt>
                <c:pt idx="13">
                  <c:v>4.3499999999999996</c:v>
                </c:pt>
                <c:pt idx="14">
                  <c:v>4.33</c:v>
                </c:pt>
                <c:pt idx="15">
                  <c:v>4.3</c:v>
                </c:pt>
                <c:pt idx="16">
                  <c:v>4.33</c:v>
                </c:pt>
                <c:pt idx="17">
                  <c:v>4.3</c:v>
                </c:pt>
                <c:pt idx="18">
                  <c:v>4.28</c:v>
                </c:pt>
                <c:pt idx="19">
                  <c:v>4.26</c:v>
                </c:pt>
                <c:pt idx="20">
                  <c:v>4.2300000000000004</c:v>
                </c:pt>
                <c:pt idx="21">
                  <c:v>4.25</c:v>
                </c:pt>
                <c:pt idx="22">
                  <c:v>4.16</c:v>
                </c:pt>
                <c:pt idx="23">
                  <c:v>4.16</c:v>
                </c:pt>
                <c:pt idx="24">
                  <c:v>4.12</c:v>
                </c:pt>
                <c:pt idx="25">
                  <c:v>4.12</c:v>
                </c:pt>
                <c:pt idx="26">
                  <c:v>4.0999999999999996</c:v>
                </c:pt>
                <c:pt idx="27">
                  <c:v>4.08</c:v>
                </c:pt>
                <c:pt idx="28">
                  <c:v>4.04</c:v>
                </c:pt>
                <c:pt idx="29">
                  <c:v>4</c:v>
                </c:pt>
                <c:pt idx="30">
                  <c:v>3.97</c:v>
                </c:pt>
                <c:pt idx="31">
                  <c:v>3.95</c:v>
                </c:pt>
                <c:pt idx="32">
                  <c:v>3.93</c:v>
                </c:pt>
                <c:pt idx="33">
                  <c:v>3.83</c:v>
                </c:pt>
                <c:pt idx="34">
                  <c:v>4.25</c:v>
                </c:pt>
                <c:pt idx="35">
                  <c:v>4.2300000000000004</c:v>
                </c:pt>
                <c:pt idx="36">
                  <c:v>4.2</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0.89</c:v>
                </c:pt>
                <c:pt idx="1">
                  <c:v>0.73</c:v>
                </c:pt>
                <c:pt idx="2">
                  <c:v>0.5</c:v>
                </c:pt>
                <c:pt idx="3">
                  <c:v>0.42</c:v>
                </c:pt>
                <c:pt idx="4">
                  <c:v>0.59</c:v>
                </c:pt>
                <c:pt idx="5">
                  <c:v>0.6</c:v>
                </c:pt>
                <c:pt idx="6">
                  <c:v>0.66</c:v>
                </c:pt>
                <c:pt idx="7">
                  <c:v>0.96</c:v>
                </c:pt>
                <c:pt idx="8">
                  <c:v>0.95</c:v>
                </c:pt>
                <c:pt idx="9">
                  <c:v>0.9</c:v>
                </c:pt>
                <c:pt idx="10">
                  <c:v>0.92</c:v>
                </c:pt>
                <c:pt idx="11">
                  <c:v>0.42</c:v>
                </c:pt>
                <c:pt idx="12">
                  <c:v>0.84</c:v>
                </c:pt>
                <c:pt idx="13">
                  <c:v>1.17</c:v>
                </c:pt>
                <c:pt idx="14">
                  <c:v>0.74</c:v>
                </c:pt>
                <c:pt idx="15">
                  <c:v>0.73</c:v>
                </c:pt>
                <c:pt idx="16">
                  <c:v>1.1499999999999999</c:v>
                </c:pt>
                <c:pt idx="17">
                  <c:v>1.31</c:v>
                </c:pt>
                <c:pt idx="18">
                  <c:v>1.1399999999999999</c:v>
                </c:pt>
                <c:pt idx="19">
                  <c:v>1.05</c:v>
                </c:pt>
                <c:pt idx="20">
                  <c:v>0.99</c:v>
                </c:pt>
                <c:pt idx="21">
                  <c:v>0.92</c:v>
                </c:pt>
                <c:pt idx="22">
                  <c:v>0.93</c:v>
                </c:pt>
                <c:pt idx="23">
                  <c:v>0.83</c:v>
                </c:pt>
                <c:pt idx="24">
                  <c:v>0.83</c:v>
                </c:pt>
                <c:pt idx="25">
                  <c:v>1.03</c:v>
                </c:pt>
                <c:pt idx="26">
                  <c:v>1.19</c:v>
                </c:pt>
                <c:pt idx="27">
                  <c:v>1</c:v>
                </c:pt>
                <c:pt idx="28">
                  <c:v>1.04</c:v>
                </c:pt>
                <c:pt idx="29">
                  <c:v>1.59</c:v>
                </c:pt>
                <c:pt idx="30">
                  <c:v>1.8</c:v>
                </c:pt>
                <c:pt idx="31">
                  <c:v>1.81</c:v>
                </c:pt>
                <c:pt idx="32">
                  <c:v>1.47</c:v>
                </c:pt>
                <c:pt idx="33">
                  <c:v>1.18</c:v>
                </c:pt>
                <c:pt idx="34">
                  <c:v>0.96</c:v>
                </c:pt>
                <c:pt idx="35">
                  <c:v>1.02</c:v>
                </c:pt>
                <c:pt idx="36">
                  <c:v>1.5</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0.8</c:v>
                </c:pt>
                <c:pt idx="1">
                  <c:v>0.72</c:v>
                </c:pt>
                <c:pt idx="2">
                  <c:v>0.66</c:v>
                </c:pt>
                <c:pt idx="3">
                  <c:v>0.61</c:v>
                </c:pt>
                <c:pt idx="4">
                  <c:v>0.64</c:v>
                </c:pt>
                <c:pt idx="5">
                  <c:v>0.75</c:v>
                </c:pt>
                <c:pt idx="6">
                  <c:v>0.87</c:v>
                </c:pt>
                <c:pt idx="7">
                  <c:v>1.06</c:v>
                </c:pt>
                <c:pt idx="8">
                  <c:v>1.04</c:v>
                </c:pt>
                <c:pt idx="9">
                  <c:v>0.95</c:v>
                </c:pt>
                <c:pt idx="10">
                  <c:v>0.81</c:v>
                </c:pt>
                <c:pt idx="11">
                  <c:v>0.57999999999999996</c:v>
                </c:pt>
                <c:pt idx="12">
                  <c:v>0.81</c:v>
                </c:pt>
                <c:pt idx="13">
                  <c:v>0.99</c:v>
                </c:pt>
                <c:pt idx="14">
                  <c:v>0.73</c:v>
                </c:pt>
                <c:pt idx="15">
                  <c:v>0.73</c:v>
                </c:pt>
                <c:pt idx="16">
                  <c:v>0.82</c:v>
                </c:pt>
                <c:pt idx="17">
                  <c:v>0.88</c:v>
                </c:pt>
                <c:pt idx="18">
                  <c:v>0.86</c:v>
                </c:pt>
                <c:pt idx="19">
                  <c:v>0.82</c:v>
                </c:pt>
                <c:pt idx="20">
                  <c:v>0.87</c:v>
                </c:pt>
                <c:pt idx="21">
                  <c:v>0.88</c:v>
                </c:pt>
                <c:pt idx="22">
                  <c:v>0.79</c:v>
                </c:pt>
                <c:pt idx="23">
                  <c:v>0.73</c:v>
                </c:pt>
                <c:pt idx="24">
                  <c:v>0.92</c:v>
                </c:pt>
                <c:pt idx="25">
                  <c:v>1.04</c:v>
                </c:pt>
                <c:pt idx="26">
                  <c:v>0.88</c:v>
                </c:pt>
                <c:pt idx="27">
                  <c:v>0.8</c:v>
                </c:pt>
                <c:pt idx="28">
                  <c:v>0.84</c:v>
                </c:pt>
                <c:pt idx="29">
                  <c:v>0.89</c:v>
                </c:pt>
                <c:pt idx="30">
                  <c:v>0.91</c:v>
                </c:pt>
                <c:pt idx="31">
                  <c:v>0.89</c:v>
                </c:pt>
                <c:pt idx="32">
                  <c:v>0.81</c:v>
                </c:pt>
                <c:pt idx="33">
                  <c:v>0.84</c:v>
                </c:pt>
                <c:pt idx="34">
                  <c:v>0.81</c:v>
                </c:pt>
                <c:pt idx="35">
                  <c:v>0.81</c:v>
                </c:pt>
                <c:pt idx="36">
                  <c:v>0.97</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0.94</c:v>
                </c:pt>
                <c:pt idx="1">
                  <c:v>0.88</c:v>
                </c:pt>
                <c:pt idx="2">
                  <c:v>0.85</c:v>
                </c:pt>
                <c:pt idx="3">
                  <c:v>0.77</c:v>
                </c:pt>
                <c:pt idx="4">
                  <c:v>0.82</c:v>
                </c:pt>
                <c:pt idx="5">
                  <c:v>0.93</c:v>
                </c:pt>
                <c:pt idx="6">
                  <c:v>1.1100000000000001</c:v>
                </c:pt>
                <c:pt idx="7">
                  <c:v>1.45</c:v>
                </c:pt>
                <c:pt idx="8">
                  <c:v>1.46</c:v>
                </c:pt>
                <c:pt idx="9">
                  <c:v>1.37</c:v>
                </c:pt>
                <c:pt idx="10">
                  <c:v>1.23</c:v>
                </c:pt>
                <c:pt idx="11">
                  <c:v>1.1100000000000001</c:v>
                </c:pt>
                <c:pt idx="12">
                  <c:v>1.34</c:v>
                </c:pt>
                <c:pt idx="13">
                  <c:v>1.44</c:v>
                </c:pt>
                <c:pt idx="14">
                  <c:v>1.27</c:v>
                </c:pt>
                <c:pt idx="15">
                  <c:v>1.29</c:v>
                </c:pt>
                <c:pt idx="16">
                  <c:v>1.25</c:v>
                </c:pt>
                <c:pt idx="17">
                  <c:v>1.28</c:v>
                </c:pt>
                <c:pt idx="18">
                  <c:v>1.27</c:v>
                </c:pt>
                <c:pt idx="19">
                  <c:v>1.21</c:v>
                </c:pt>
                <c:pt idx="20">
                  <c:v>1.2</c:v>
                </c:pt>
                <c:pt idx="21">
                  <c:v>1.2</c:v>
                </c:pt>
                <c:pt idx="22">
                  <c:v>1.1000000000000001</c:v>
                </c:pt>
                <c:pt idx="23">
                  <c:v>1.02</c:v>
                </c:pt>
                <c:pt idx="24">
                  <c:v>1.1399999999999999</c:v>
                </c:pt>
                <c:pt idx="25">
                  <c:v>1.22</c:v>
                </c:pt>
                <c:pt idx="26">
                  <c:v>1.1299999999999999</c:v>
                </c:pt>
                <c:pt idx="27">
                  <c:v>1.04</c:v>
                </c:pt>
                <c:pt idx="28">
                  <c:v>1.07</c:v>
                </c:pt>
                <c:pt idx="29">
                  <c:v>1.0900000000000001</c:v>
                </c:pt>
                <c:pt idx="30">
                  <c:v>1.0900000000000001</c:v>
                </c:pt>
                <c:pt idx="31">
                  <c:v>1.03</c:v>
                </c:pt>
                <c:pt idx="32">
                  <c:v>0.95</c:v>
                </c:pt>
                <c:pt idx="33">
                  <c:v>0.92</c:v>
                </c:pt>
                <c:pt idx="34">
                  <c:v>0.87</c:v>
                </c:pt>
                <c:pt idx="35">
                  <c:v>0.85</c:v>
                </c:pt>
                <c:pt idx="36">
                  <c:v>0.99</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1.29</c:v>
                </c:pt>
                <c:pt idx="1">
                  <c:v>1.1399999999999999</c:v>
                </c:pt>
                <c:pt idx="2">
                  <c:v>1.07</c:v>
                </c:pt>
                <c:pt idx="3">
                  <c:v>1</c:v>
                </c:pt>
                <c:pt idx="4">
                  <c:v>1.06</c:v>
                </c:pt>
                <c:pt idx="5">
                  <c:v>1.21</c:v>
                </c:pt>
                <c:pt idx="6">
                  <c:v>1.39</c:v>
                </c:pt>
                <c:pt idx="7">
                  <c:v>1.69</c:v>
                </c:pt>
                <c:pt idx="8">
                  <c:v>1.71</c:v>
                </c:pt>
                <c:pt idx="9">
                  <c:v>1.67</c:v>
                </c:pt>
                <c:pt idx="10">
                  <c:v>1.51</c:v>
                </c:pt>
                <c:pt idx="11">
                  <c:v>1.41</c:v>
                </c:pt>
                <c:pt idx="12">
                  <c:v>1.6</c:v>
                </c:pt>
                <c:pt idx="13">
                  <c:v>1.68</c:v>
                </c:pt>
                <c:pt idx="14">
                  <c:v>1.55</c:v>
                </c:pt>
                <c:pt idx="15">
                  <c:v>1.64</c:v>
                </c:pt>
                <c:pt idx="16">
                  <c:v>1.48</c:v>
                </c:pt>
                <c:pt idx="17">
                  <c:v>1.48</c:v>
                </c:pt>
                <c:pt idx="18">
                  <c:v>1.45</c:v>
                </c:pt>
                <c:pt idx="19">
                  <c:v>1.35</c:v>
                </c:pt>
                <c:pt idx="20">
                  <c:v>1.35</c:v>
                </c:pt>
                <c:pt idx="21">
                  <c:v>1.37</c:v>
                </c:pt>
                <c:pt idx="22">
                  <c:v>1.34</c:v>
                </c:pt>
                <c:pt idx="23">
                  <c:v>1.28</c:v>
                </c:pt>
                <c:pt idx="24">
                  <c:v>1.28</c:v>
                </c:pt>
                <c:pt idx="25">
                  <c:v>1.28</c:v>
                </c:pt>
                <c:pt idx="26">
                  <c:v>1.17</c:v>
                </c:pt>
                <c:pt idx="27">
                  <c:v>1.0900000000000001</c:v>
                </c:pt>
                <c:pt idx="28">
                  <c:v>1.07</c:v>
                </c:pt>
                <c:pt idx="29">
                  <c:v>1.05</c:v>
                </c:pt>
                <c:pt idx="30">
                  <c:v>1.08</c:v>
                </c:pt>
                <c:pt idx="31">
                  <c:v>1.05</c:v>
                </c:pt>
                <c:pt idx="32">
                  <c:v>0.99</c:v>
                </c:pt>
                <c:pt idx="33">
                  <c:v>0.95</c:v>
                </c:pt>
                <c:pt idx="34">
                  <c:v>0.9</c:v>
                </c:pt>
                <c:pt idx="35">
                  <c:v>0.88</c:v>
                </c:pt>
                <c:pt idx="36">
                  <c:v>0.92</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AOPChartSheet_chart4!$A$2:$A$34</c:f>
              <c:strCache>
                <c:ptCount val="33"/>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2019-12</c:v>
                </c:pt>
                <c:pt idx="14">
                  <c:v>2020-04</c:v>
                </c:pt>
                <c:pt idx="15">
                  <c:v>2020-05</c:v>
                </c:pt>
                <c:pt idx="16">
                  <c:v>2020-06</c:v>
                </c:pt>
                <c:pt idx="17">
                  <c:v>2020-07</c:v>
                </c:pt>
                <c:pt idx="18">
                  <c:v>2020-08</c:v>
                </c:pt>
                <c:pt idx="19">
                  <c:v>2020-09</c:v>
                </c:pt>
                <c:pt idx="20">
                  <c:v>2020-10</c:v>
                </c:pt>
                <c:pt idx="21">
                  <c:v>2020-11</c:v>
                </c:pt>
                <c:pt idx="22">
                  <c:v>2020-12</c:v>
                </c:pt>
                <c:pt idx="23">
                  <c:v>2021-01</c:v>
                </c:pt>
                <c:pt idx="24">
                  <c:v>2021-02</c:v>
                </c:pt>
                <c:pt idx="25">
                  <c:v>2021-03</c:v>
                </c:pt>
                <c:pt idx="26">
                  <c:v>2021-04</c:v>
                </c:pt>
                <c:pt idx="27">
                  <c:v>2021-05</c:v>
                </c:pt>
                <c:pt idx="28">
                  <c:v>2021-06</c:v>
                </c:pt>
                <c:pt idx="29">
                  <c:v>2021-07</c:v>
                </c:pt>
                <c:pt idx="30">
                  <c:v>2021-08</c:v>
                </c:pt>
                <c:pt idx="31">
                  <c:v>2021-09</c:v>
                </c:pt>
                <c:pt idx="32">
                  <c:v>2021-10</c:v>
                </c:pt>
              </c:strCache>
            </c:strRef>
          </c:cat>
          <c:val>
            <c:numRef>
              <c:f>AOPChartSheet_chart4!$B$2:$B$34</c:f>
              <c:numCache>
                <c:formatCode>General</c:formatCode>
                <c:ptCount val="33"/>
                <c:pt idx="0">
                  <c:v>78</c:v>
                </c:pt>
                <c:pt idx="1">
                  <c:v>165</c:v>
                </c:pt>
                <c:pt idx="2">
                  <c:v>78</c:v>
                </c:pt>
                <c:pt idx="3">
                  <c:v>49</c:v>
                </c:pt>
                <c:pt idx="4">
                  <c:v>48</c:v>
                </c:pt>
                <c:pt idx="5">
                  <c:v>247</c:v>
                </c:pt>
                <c:pt idx="6">
                  <c:v>241</c:v>
                </c:pt>
                <c:pt idx="7">
                  <c:v>52</c:v>
                </c:pt>
                <c:pt idx="8">
                  <c:v>41</c:v>
                </c:pt>
                <c:pt idx="9">
                  <c:v>134</c:v>
                </c:pt>
                <c:pt idx="10">
                  <c:v>39</c:v>
                </c:pt>
                <c:pt idx="11">
                  <c:v>36</c:v>
                </c:pt>
                <c:pt idx="12">
                  <c:v>432</c:v>
                </c:pt>
                <c:pt idx="13">
                  <c:v>466</c:v>
                </c:pt>
                <c:pt idx="14">
                  <c:v>517</c:v>
                </c:pt>
                <c:pt idx="15">
                  <c:v>517</c:v>
                </c:pt>
                <c:pt idx="16">
                  <c:v>544</c:v>
                </c:pt>
                <c:pt idx="17">
                  <c:v>550</c:v>
                </c:pt>
                <c:pt idx="18">
                  <c:v>549</c:v>
                </c:pt>
                <c:pt idx="19">
                  <c:v>554</c:v>
                </c:pt>
                <c:pt idx="20">
                  <c:v>558</c:v>
                </c:pt>
                <c:pt idx="21">
                  <c:v>568</c:v>
                </c:pt>
                <c:pt idx="22">
                  <c:v>578</c:v>
                </c:pt>
                <c:pt idx="23">
                  <c:v>599</c:v>
                </c:pt>
                <c:pt idx="24">
                  <c:v>614</c:v>
                </c:pt>
                <c:pt idx="25">
                  <c:v>592</c:v>
                </c:pt>
                <c:pt idx="26">
                  <c:v>582</c:v>
                </c:pt>
                <c:pt idx="27">
                  <c:v>568</c:v>
                </c:pt>
                <c:pt idx="28">
                  <c:v>533</c:v>
                </c:pt>
                <c:pt idx="29">
                  <c:v>511</c:v>
                </c:pt>
                <c:pt idx="30">
                  <c:v>496</c:v>
                </c:pt>
                <c:pt idx="31">
                  <c:v>477</c:v>
                </c:pt>
                <c:pt idx="32">
                  <c:v>461</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AOPChartSheet_chart4!$A$2:$A$34</c:f>
              <c:strCache>
                <c:ptCount val="33"/>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2019-12</c:v>
                </c:pt>
                <c:pt idx="14">
                  <c:v>2020-04</c:v>
                </c:pt>
                <c:pt idx="15">
                  <c:v>2020-05</c:v>
                </c:pt>
                <c:pt idx="16">
                  <c:v>2020-06</c:v>
                </c:pt>
                <c:pt idx="17">
                  <c:v>2020-07</c:v>
                </c:pt>
                <c:pt idx="18">
                  <c:v>2020-08</c:v>
                </c:pt>
                <c:pt idx="19">
                  <c:v>2020-09</c:v>
                </c:pt>
                <c:pt idx="20">
                  <c:v>2020-10</c:v>
                </c:pt>
                <c:pt idx="21">
                  <c:v>2020-11</c:v>
                </c:pt>
                <c:pt idx="22">
                  <c:v>2020-12</c:v>
                </c:pt>
                <c:pt idx="23">
                  <c:v>2021-01</c:v>
                </c:pt>
                <c:pt idx="24">
                  <c:v>2021-02</c:v>
                </c:pt>
                <c:pt idx="25">
                  <c:v>2021-03</c:v>
                </c:pt>
                <c:pt idx="26">
                  <c:v>2021-04</c:v>
                </c:pt>
                <c:pt idx="27">
                  <c:v>2021-05</c:v>
                </c:pt>
                <c:pt idx="28">
                  <c:v>2021-06</c:v>
                </c:pt>
                <c:pt idx="29">
                  <c:v>2021-07</c:v>
                </c:pt>
                <c:pt idx="30">
                  <c:v>2021-08</c:v>
                </c:pt>
                <c:pt idx="31">
                  <c:v>2021-09</c:v>
                </c:pt>
                <c:pt idx="32">
                  <c:v>2021-10</c:v>
                </c:pt>
              </c:strCache>
            </c:strRef>
          </c:cat>
          <c:val>
            <c:numRef>
              <c:f>AOPChartSheet_chart4!$C$2:$C$38</c:f>
              <c:numCache>
                <c:formatCode>General</c:formatCode>
                <c:ptCount val="37"/>
                <c:pt idx="0">
                  <c:v>120</c:v>
                </c:pt>
                <c:pt idx="1">
                  <c:v>110</c:v>
                </c:pt>
                <c:pt idx="2">
                  <c:v>175</c:v>
                </c:pt>
                <c:pt idx="3">
                  <c:v>98</c:v>
                </c:pt>
                <c:pt idx="4">
                  <c:v>94</c:v>
                </c:pt>
                <c:pt idx="5">
                  <c:v>90</c:v>
                </c:pt>
                <c:pt idx="6">
                  <c:v>87</c:v>
                </c:pt>
                <c:pt idx="7">
                  <c:v>86</c:v>
                </c:pt>
                <c:pt idx="8">
                  <c:v>83</c:v>
                </c:pt>
                <c:pt idx="9">
                  <c:v>90</c:v>
                </c:pt>
                <c:pt idx="10">
                  <c:v>81</c:v>
                </c:pt>
                <c:pt idx="11">
                  <c:v>98</c:v>
                </c:pt>
                <c:pt idx="12">
                  <c:v>738</c:v>
                </c:pt>
                <c:pt idx="13">
                  <c:v>777</c:v>
                </c:pt>
                <c:pt idx="14">
                  <c:v>832</c:v>
                </c:pt>
                <c:pt idx="15">
                  <c:v>1177</c:v>
                </c:pt>
                <c:pt idx="16">
                  <c:v>1221</c:v>
                </c:pt>
                <c:pt idx="17">
                  <c:v>1262</c:v>
                </c:pt>
                <c:pt idx="18">
                  <c:v>969</c:v>
                </c:pt>
                <c:pt idx="19">
                  <c:v>969</c:v>
                </c:pt>
                <c:pt idx="20">
                  <c:v>1034</c:v>
                </c:pt>
                <c:pt idx="21">
                  <c:v>1074</c:v>
                </c:pt>
                <c:pt idx="22">
                  <c:v>1110</c:v>
                </c:pt>
                <c:pt idx="23">
                  <c:v>1128</c:v>
                </c:pt>
                <c:pt idx="24">
                  <c:v>1157</c:v>
                </c:pt>
                <c:pt idx="25">
                  <c:v>1215</c:v>
                </c:pt>
                <c:pt idx="26">
                  <c:v>1251</c:v>
                </c:pt>
                <c:pt idx="27">
                  <c:v>1289</c:v>
                </c:pt>
                <c:pt idx="28">
                  <c:v>1351</c:v>
                </c:pt>
                <c:pt idx="29">
                  <c:v>1330</c:v>
                </c:pt>
                <c:pt idx="30">
                  <c:v>1326</c:v>
                </c:pt>
                <c:pt idx="31">
                  <c:v>1319</c:v>
                </c:pt>
                <c:pt idx="32">
                  <c:v>1263</c:v>
                </c:pt>
                <c:pt idx="33">
                  <c:v>1144</c:v>
                </c:pt>
                <c:pt idx="34">
                  <c:v>1094</c:v>
                </c:pt>
                <c:pt idx="35">
                  <c:v>1044</c:v>
                </c:pt>
                <c:pt idx="36">
                  <c:v>1031</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AOPChartSheet_chart4!$A$2:$A$34</c:f>
              <c:strCache>
                <c:ptCount val="33"/>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2019-12</c:v>
                </c:pt>
                <c:pt idx="14">
                  <c:v>2020-04</c:v>
                </c:pt>
                <c:pt idx="15">
                  <c:v>2020-05</c:v>
                </c:pt>
                <c:pt idx="16">
                  <c:v>2020-06</c:v>
                </c:pt>
                <c:pt idx="17">
                  <c:v>2020-07</c:v>
                </c:pt>
                <c:pt idx="18">
                  <c:v>2020-08</c:v>
                </c:pt>
                <c:pt idx="19">
                  <c:v>2020-09</c:v>
                </c:pt>
                <c:pt idx="20">
                  <c:v>2020-10</c:v>
                </c:pt>
                <c:pt idx="21">
                  <c:v>2020-11</c:v>
                </c:pt>
                <c:pt idx="22">
                  <c:v>2020-12</c:v>
                </c:pt>
                <c:pt idx="23">
                  <c:v>2021-01</c:v>
                </c:pt>
                <c:pt idx="24">
                  <c:v>2021-02</c:v>
                </c:pt>
                <c:pt idx="25">
                  <c:v>2021-03</c:v>
                </c:pt>
                <c:pt idx="26">
                  <c:v>2021-04</c:v>
                </c:pt>
                <c:pt idx="27">
                  <c:v>2021-05</c:v>
                </c:pt>
                <c:pt idx="28">
                  <c:v>2021-06</c:v>
                </c:pt>
                <c:pt idx="29">
                  <c:v>2021-07</c:v>
                </c:pt>
                <c:pt idx="30">
                  <c:v>2021-08</c:v>
                </c:pt>
                <c:pt idx="31">
                  <c:v>2021-09</c:v>
                </c:pt>
                <c:pt idx="32">
                  <c:v>2021-10</c:v>
                </c:pt>
              </c:strCache>
            </c:strRef>
          </c:cat>
          <c:val>
            <c:numRef>
              <c:f>AOPChartSheet_chart4!$D$2:$D$38</c:f>
              <c:numCache>
                <c:formatCode>General</c:formatCode>
                <c:ptCount val="37"/>
                <c:pt idx="0">
                  <c:v>108</c:v>
                </c:pt>
                <c:pt idx="1">
                  <c:v>103</c:v>
                </c:pt>
                <c:pt idx="2">
                  <c:v>140</c:v>
                </c:pt>
                <c:pt idx="3">
                  <c:v>93</c:v>
                </c:pt>
                <c:pt idx="4">
                  <c:v>92</c:v>
                </c:pt>
                <c:pt idx="5">
                  <c:v>83</c:v>
                </c:pt>
                <c:pt idx="6">
                  <c:v>81</c:v>
                </c:pt>
                <c:pt idx="7">
                  <c:v>87</c:v>
                </c:pt>
                <c:pt idx="8">
                  <c:v>86</c:v>
                </c:pt>
                <c:pt idx="9">
                  <c:v>89</c:v>
                </c:pt>
                <c:pt idx="10">
                  <c:v>84</c:v>
                </c:pt>
                <c:pt idx="11">
                  <c:v>92</c:v>
                </c:pt>
                <c:pt idx="12">
                  <c:v>612</c:v>
                </c:pt>
                <c:pt idx="13">
                  <c:v>637</c:v>
                </c:pt>
                <c:pt idx="14">
                  <c:v>665</c:v>
                </c:pt>
                <c:pt idx="15">
                  <c:v>675</c:v>
                </c:pt>
                <c:pt idx="16">
                  <c:v>673</c:v>
                </c:pt>
                <c:pt idx="17">
                  <c:v>693</c:v>
                </c:pt>
                <c:pt idx="18">
                  <c:v>751</c:v>
                </c:pt>
                <c:pt idx="19">
                  <c:v>754</c:v>
                </c:pt>
                <c:pt idx="20">
                  <c:v>798</c:v>
                </c:pt>
                <c:pt idx="21">
                  <c:v>837</c:v>
                </c:pt>
                <c:pt idx="22">
                  <c:v>876</c:v>
                </c:pt>
                <c:pt idx="23">
                  <c:v>898</c:v>
                </c:pt>
                <c:pt idx="24">
                  <c:v>943</c:v>
                </c:pt>
                <c:pt idx="25">
                  <c:v>991</c:v>
                </c:pt>
                <c:pt idx="26">
                  <c:v>1036</c:v>
                </c:pt>
                <c:pt idx="27">
                  <c:v>1117</c:v>
                </c:pt>
                <c:pt idx="28">
                  <c:v>1190</c:v>
                </c:pt>
                <c:pt idx="29">
                  <c:v>1208</c:v>
                </c:pt>
                <c:pt idx="30">
                  <c:v>1226</c:v>
                </c:pt>
                <c:pt idx="31">
                  <c:v>1220</c:v>
                </c:pt>
                <c:pt idx="32">
                  <c:v>1183</c:v>
                </c:pt>
                <c:pt idx="33">
                  <c:v>1027</c:v>
                </c:pt>
                <c:pt idx="34">
                  <c:v>1000</c:v>
                </c:pt>
                <c:pt idx="35">
                  <c:v>983</c:v>
                </c:pt>
                <c:pt idx="36">
                  <c:v>973</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AOPChartSheet_chart4!$A$2:$A$34</c:f>
              <c:strCache>
                <c:ptCount val="33"/>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2019-12</c:v>
                </c:pt>
                <c:pt idx="14">
                  <c:v>2020-04</c:v>
                </c:pt>
                <c:pt idx="15">
                  <c:v>2020-05</c:v>
                </c:pt>
                <c:pt idx="16">
                  <c:v>2020-06</c:v>
                </c:pt>
                <c:pt idx="17">
                  <c:v>2020-07</c:v>
                </c:pt>
                <c:pt idx="18">
                  <c:v>2020-08</c:v>
                </c:pt>
                <c:pt idx="19">
                  <c:v>2020-09</c:v>
                </c:pt>
                <c:pt idx="20">
                  <c:v>2020-10</c:v>
                </c:pt>
                <c:pt idx="21">
                  <c:v>2020-11</c:v>
                </c:pt>
                <c:pt idx="22">
                  <c:v>2020-12</c:v>
                </c:pt>
                <c:pt idx="23">
                  <c:v>2021-01</c:v>
                </c:pt>
                <c:pt idx="24">
                  <c:v>2021-02</c:v>
                </c:pt>
                <c:pt idx="25">
                  <c:v>2021-03</c:v>
                </c:pt>
                <c:pt idx="26">
                  <c:v>2021-04</c:v>
                </c:pt>
                <c:pt idx="27">
                  <c:v>2021-05</c:v>
                </c:pt>
                <c:pt idx="28">
                  <c:v>2021-06</c:v>
                </c:pt>
                <c:pt idx="29">
                  <c:v>2021-07</c:v>
                </c:pt>
                <c:pt idx="30">
                  <c:v>2021-08</c:v>
                </c:pt>
                <c:pt idx="31">
                  <c:v>2021-09</c:v>
                </c:pt>
                <c:pt idx="32">
                  <c:v>2021-10</c:v>
                </c:pt>
              </c:strCache>
            </c:strRef>
          </c:cat>
          <c:val>
            <c:numRef>
              <c:f>AOPChartSheet_chart4!$E$2:$E$38</c:f>
              <c:numCache>
                <c:formatCode>General</c:formatCode>
                <c:ptCount val="37"/>
                <c:pt idx="0">
                  <c:v>86</c:v>
                </c:pt>
                <c:pt idx="1">
                  <c:v>80</c:v>
                </c:pt>
                <c:pt idx="2">
                  <c:v>107</c:v>
                </c:pt>
                <c:pt idx="3">
                  <c:v>73</c:v>
                </c:pt>
                <c:pt idx="4">
                  <c:v>70</c:v>
                </c:pt>
                <c:pt idx="5">
                  <c:v>66</c:v>
                </c:pt>
                <c:pt idx="6">
                  <c:v>65</c:v>
                </c:pt>
                <c:pt idx="7">
                  <c:v>67</c:v>
                </c:pt>
                <c:pt idx="8">
                  <c:v>65</c:v>
                </c:pt>
                <c:pt idx="9">
                  <c:v>68</c:v>
                </c:pt>
                <c:pt idx="10">
                  <c:v>66</c:v>
                </c:pt>
                <c:pt idx="11">
                  <c:v>72</c:v>
                </c:pt>
                <c:pt idx="12">
                  <c:v>436</c:v>
                </c:pt>
                <c:pt idx="13">
                  <c:v>450</c:v>
                </c:pt>
                <c:pt idx="14">
                  <c:v>472</c:v>
                </c:pt>
                <c:pt idx="15">
                  <c:v>442</c:v>
                </c:pt>
                <c:pt idx="16">
                  <c:v>458</c:v>
                </c:pt>
                <c:pt idx="17">
                  <c:v>472</c:v>
                </c:pt>
                <c:pt idx="18">
                  <c:v>540</c:v>
                </c:pt>
                <c:pt idx="19">
                  <c:v>535</c:v>
                </c:pt>
                <c:pt idx="20">
                  <c:v>580</c:v>
                </c:pt>
                <c:pt idx="21">
                  <c:v>615</c:v>
                </c:pt>
                <c:pt idx="22">
                  <c:v>660</c:v>
                </c:pt>
                <c:pt idx="23">
                  <c:v>698</c:v>
                </c:pt>
                <c:pt idx="24">
                  <c:v>745</c:v>
                </c:pt>
                <c:pt idx="25">
                  <c:v>794</c:v>
                </c:pt>
                <c:pt idx="26">
                  <c:v>844</c:v>
                </c:pt>
                <c:pt idx="27">
                  <c:v>890</c:v>
                </c:pt>
                <c:pt idx="28">
                  <c:v>952</c:v>
                </c:pt>
                <c:pt idx="29">
                  <c:v>969</c:v>
                </c:pt>
                <c:pt idx="30">
                  <c:v>990</c:v>
                </c:pt>
                <c:pt idx="31">
                  <c:v>999</c:v>
                </c:pt>
                <c:pt idx="32">
                  <c:v>991</c:v>
                </c:pt>
                <c:pt idx="33">
                  <c:v>935</c:v>
                </c:pt>
                <c:pt idx="34">
                  <c:v>916</c:v>
                </c:pt>
                <c:pt idx="35">
                  <c:v>897</c:v>
                </c:pt>
                <c:pt idx="36">
                  <c:v>888</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22</c:v>
                </c:pt>
                <c:pt idx="1">
                  <c:v>25</c:v>
                </c:pt>
                <c:pt idx="2">
                  <c:v>27</c:v>
                </c:pt>
                <c:pt idx="3">
                  <c:v>30</c:v>
                </c:pt>
                <c:pt idx="4">
                  <c:v>34</c:v>
                </c:pt>
                <c:pt idx="5">
                  <c:v>35</c:v>
                </c:pt>
                <c:pt idx="6">
                  <c:v>36</c:v>
                </c:pt>
                <c:pt idx="7">
                  <c:v>34</c:v>
                </c:pt>
                <c:pt idx="8">
                  <c:v>28</c:v>
                </c:pt>
                <c:pt idx="9">
                  <c:v>22</c:v>
                </c:pt>
                <c:pt idx="10">
                  <c:v>19</c:v>
                </c:pt>
                <c:pt idx="11">
                  <c:v>20</c:v>
                </c:pt>
                <c:pt idx="12">
                  <c:v>29</c:v>
                </c:pt>
                <c:pt idx="13">
                  <c:v>37</c:v>
                </c:pt>
                <c:pt idx="14">
                  <c:v>39</c:v>
                </c:pt>
                <c:pt idx="15">
                  <c:v>28</c:v>
                </c:pt>
                <c:pt idx="16">
                  <c:v>21</c:v>
                </c:pt>
                <c:pt idx="17">
                  <c:v>21</c:v>
                </c:pt>
                <c:pt idx="18">
                  <c:v>24</c:v>
                </c:pt>
                <c:pt idx="19">
                  <c:v>26</c:v>
                </c:pt>
                <c:pt idx="20">
                  <c:v>30</c:v>
                </c:pt>
                <c:pt idx="21">
                  <c:v>35</c:v>
                </c:pt>
                <c:pt idx="22">
                  <c:v>34</c:v>
                </c:pt>
                <c:pt idx="23">
                  <c:v>32</c:v>
                </c:pt>
                <c:pt idx="24">
                  <c:v>31</c:v>
                </c:pt>
                <c:pt idx="25">
                  <c:v>38</c:v>
                </c:pt>
                <c:pt idx="26">
                  <c:v>46</c:v>
                </c:pt>
                <c:pt idx="27">
                  <c:v>48</c:v>
                </c:pt>
                <c:pt idx="28">
                  <c:v>50</c:v>
                </c:pt>
                <c:pt idx="29">
                  <c:v>51</c:v>
                </c:pt>
                <c:pt idx="30">
                  <c:v>52</c:v>
                </c:pt>
                <c:pt idx="31">
                  <c:v>56</c:v>
                </c:pt>
                <c:pt idx="32">
                  <c:v>63</c:v>
                </c:pt>
                <c:pt idx="33">
                  <c:v>67</c:v>
                </c:pt>
                <c:pt idx="34">
                  <c:v>70</c:v>
                </c:pt>
                <c:pt idx="35">
                  <c:v>70</c:v>
                </c:pt>
                <c:pt idx="36">
                  <c:v>76</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29</c:v>
                </c:pt>
                <c:pt idx="1">
                  <c:v>30</c:v>
                </c:pt>
                <c:pt idx="2">
                  <c:v>32</c:v>
                </c:pt>
                <c:pt idx="3">
                  <c:v>33</c:v>
                </c:pt>
                <c:pt idx="4">
                  <c:v>34</c:v>
                </c:pt>
                <c:pt idx="5">
                  <c:v>35</c:v>
                </c:pt>
                <c:pt idx="6">
                  <c:v>35</c:v>
                </c:pt>
                <c:pt idx="7">
                  <c:v>35</c:v>
                </c:pt>
                <c:pt idx="8">
                  <c:v>36</c:v>
                </c:pt>
                <c:pt idx="9">
                  <c:v>36</c:v>
                </c:pt>
                <c:pt idx="10">
                  <c:v>37</c:v>
                </c:pt>
                <c:pt idx="11">
                  <c:v>38</c:v>
                </c:pt>
                <c:pt idx="12">
                  <c:v>39</c:v>
                </c:pt>
                <c:pt idx="13">
                  <c:v>40</c:v>
                </c:pt>
                <c:pt idx="14">
                  <c:v>41</c:v>
                </c:pt>
                <c:pt idx="15">
                  <c:v>42</c:v>
                </c:pt>
                <c:pt idx="16">
                  <c:v>42</c:v>
                </c:pt>
                <c:pt idx="17">
                  <c:v>43</c:v>
                </c:pt>
                <c:pt idx="18">
                  <c:v>44</c:v>
                </c:pt>
                <c:pt idx="19">
                  <c:v>46</c:v>
                </c:pt>
                <c:pt idx="20">
                  <c:v>46</c:v>
                </c:pt>
                <c:pt idx="21">
                  <c:v>47</c:v>
                </c:pt>
                <c:pt idx="22">
                  <c:v>47</c:v>
                </c:pt>
                <c:pt idx="23">
                  <c:v>48</c:v>
                </c:pt>
                <c:pt idx="24">
                  <c:v>48</c:v>
                </c:pt>
                <c:pt idx="25">
                  <c:v>51</c:v>
                </c:pt>
                <c:pt idx="26">
                  <c:v>52</c:v>
                </c:pt>
                <c:pt idx="27">
                  <c:v>52</c:v>
                </c:pt>
                <c:pt idx="28">
                  <c:v>53</c:v>
                </c:pt>
                <c:pt idx="29">
                  <c:v>53</c:v>
                </c:pt>
                <c:pt idx="30">
                  <c:v>52</c:v>
                </c:pt>
                <c:pt idx="31">
                  <c:v>51</c:v>
                </c:pt>
                <c:pt idx="32">
                  <c:v>50</c:v>
                </c:pt>
                <c:pt idx="33">
                  <c:v>50</c:v>
                </c:pt>
                <c:pt idx="34">
                  <c:v>49</c:v>
                </c:pt>
                <c:pt idx="35">
                  <c:v>48</c:v>
                </c:pt>
                <c:pt idx="36">
                  <c:v>47</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36</c:v>
                </c:pt>
                <c:pt idx="1">
                  <c:v>37</c:v>
                </c:pt>
                <c:pt idx="2">
                  <c:v>38</c:v>
                </c:pt>
                <c:pt idx="3">
                  <c:v>39</c:v>
                </c:pt>
                <c:pt idx="4">
                  <c:v>40</c:v>
                </c:pt>
                <c:pt idx="5">
                  <c:v>39</c:v>
                </c:pt>
                <c:pt idx="6">
                  <c:v>38</c:v>
                </c:pt>
                <c:pt idx="7">
                  <c:v>36</c:v>
                </c:pt>
                <c:pt idx="8">
                  <c:v>37</c:v>
                </c:pt>
                <c:pt idx="9">
                  <c:v>36</c:v>
                </c:pt>
                <c:pt idx="10">
                  <c:v>37</c:v>
                </c:pt>
                <c:pt idx="11">
                  <c:v>38</c:v>
                </c:pt>
                <c:pt idx="12">
                  <c:v>39</c:v>
                </c:pt>
                <c:pt idx="13">
                  <c:v>40</c:v>
                </c:pt>
                <c:pt idx="14">
                  <c:v>40</c:v>
                </c:pt>
                <c:pt idx="15">
                  <c:v>41</c:v>
                </c:pt>
                <c:pt idx="16">
                  <c:v>41</c:v>
                </c:pt>
                <c:pt idx="17">
                  <c:v>41</c:v>
                </c:pt>
                <c:pt idx="18">
                  <c:v>42</c:v>
                </c:pt>
                <c:pt idx="19">
                  <c:v>42</c:v>
                </c:pt>
                <c:pt idx="20">
                  <c:v>43</c:v>
                </c:pt>
                <c:pt idx="21">
                  <c:v>44</c:v>
                </c:pt>
                <c:pt idx="22">
                  <c:v>44</c:v>
                </c:pt>
                <c:pt idx="23">
                  <c:v>45</c:v>
                </c:pt>
                <c:pt idx="24">
                  <c:v>45</c:v>
                </c:pt>
                <c:pt idx="25">
                  <c:v>46</c:v>
                </c:pt>
                <c:pt idx="26">
                  <c:v>46</c:v>
                </c:pt>
                <c:pt idx="27">
                  <c:v>46</c:v>
                </c:pt>
                <c:pt idx="28">
                  <c:v>46</c:v>
                </c:pt>
                <c:pt idx="29">
                  <c:v>45</c:v>
                </c:pt>
                <c:pt idx="30">
                  <c:v>43</c:v>
                </c:pt>
                <c:pt idx="31">
                  <c:v>41</c:v>
                </c:pt>
                <c:pt idx="32">
                  <c:v>40</c:v>
                </c:pt>
                <c:pt idx="33">
                  <c:v>45</c:v>
                </c:pt>
                <c:pt idx="34">
                  <c:v>40</c:v>
                </c:pt>
                <c:pt idx="35">
                  <c:v>39</c:v>
                </c:pt>
                <c:pt idx="36">
                  <c:v>37</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46</c:v>
                </c:pt>
                <c:pt idx="1">
                  <c:v>46</c:v>
                </c:pt>
                <c:pt idx="2">
                  <c:v>47</c:v>
                </c:pt>
                <c:pt idx="3">
                  <c:v>47</c:v>
                </c:pt>
                <c:pt idx="4">
                  <c:v>46</c:v>
                </c:pt>
                <c:pt idx="5">
                  <c:v>44</c:v>
                </c:pt>
                <c:pt idx="6">
                  <c:v>44</c:v>
                </c:pt>
                <c:pt idx="7">
                  <c:v>39</c:v>
                </c:pt>
                <c:pt idx="8">
                  <c:v>39</c:v>
                </c:pt>
                <c:pt idx="9">
                  <c:v>39</c:v>
                </c:pt>
                <c:pt idx="10">
                  <c:v>40</c:v>
                </c:pt>
                <c:pt idx="11">
                  <c:v>40</c:v>
                </c:pt>
                <c:pt idx="12">
                  <c:v>41</c:v>
                </c:pt>
                <c:pt idx="13">
                  <c:v>41</c:v>
                </c:pt>
                <c:pt idx="14">
                  <c:v>41</c:v>
                </c:pt>
                <c:pt idx="15">
                  <c:v>43</c:v>
                </c:pt>
                <c:pt idx="16">
                  <c:v>42</c:v>
                </c:pt>
                <c:pt idx="17">
                  <c:v>43</c:v>
                </c:pt>
                <c:pt idx="18">
                  <c:v>44</c:v>
                </c:pt>
                <c:pt idx="19">
                  <c:v>44</c:v>
                </c:pt>
                <c:pt idx="20">
                  <c:v>45</c:v>
                </c:pt>
                <c:pt idx="21">
                  <c:v>46</c:v>
                </c:pt>
                <c:pt idx="22">
                  <c:v>47</c:v>
                </c:pt>
                <c:pt idx="23">
                  <c:v>47</c:v>
                </c:pt>
                <c:pt idx="24">
                  <c:v>47</c:v>
                </c:pt>
                <c:pt idx="25">
                  <c:v>48</c:v>
                </c:pt>
                <c:pt idx="26">
                  <c:v>48</c:v>
                </c:pt>
                <c:pt idx="27">
                  <c:v>48</c:v>
                </c:pt>
                <c:pt idx="28">
                  <c:v>48</c:v>
                </c:pt>
                <c:pt idx="29">
                  <c:v>47</c:v>
                </c:pt>
                <c:pt idx="30">
                  <c:v>46</c:v>
                </c:pt>
                <c:pt idx="31">
                  <c:v>45</c:v>
                </c:pt>
                <c:pt idx="32">
                  <c:v>44</c:v>
                </c:pt>
                <c:pt idx="33">
                  <c:v>48</c:v>
                </c:pt>
                <c:pt idx="34">
                  <c:v>45</c:v>
                </c:pt>
                <c:pt idx="35">
                  <c:v>43</c:v>
                </c:pt>
                <c:pt idx="36">
                  <c:v>41</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8914</c:v>
                </c:pt>
                <c:pt idx="1">
                  <c:v>49377</c:v>
                </c:pt>
                <c:pt idx="2">
                  <c:v>56571</c:v>
                </c:pt>
                <c:pt idx="3">
                  <c:v>157427</c:v>
                </c:pt>
                <c:pt idx="4">
                  <c:v>160746</c:v>
                </c:pt>
                <c:pt idx="5">
                  <c:v>56922</c:v>
                </c:pt>
                <c:pt idx="6">
                  <c:v>50554</c:v>
                </c:pt>
                <c:pt idx="7">
                  <c:v>44866</c:v>
                </c:pt>
                <c:pt idx="8">
                  <c:v>34320</c:v>
                </c:pt>
                <c:pt idx="9">
                  <c:v>42632</c:v>
                </c:pt>
                <c:pt idx="10">
                  <c:v>8801</c:v>
                </c:pt>
                <c:pt idx="11">
                  <c:v>9105</c:v>
                </c:pt>
                <c:pt idx="12">
                  <c:v>-8568</c:v>
                </c:pt>
                <c:pt idx="13">
                  <c:v>-23036</c:v>
                </c:pt>
                <c:pt idx="14">
                  <c:v>5518</c:v>
                </c:pt>
                <c:pt idx="15">
                  <c:v>11835</c:v>
                </c:pt>
                <c:pt idx="16">
                  <c:v>29504</c:v>
                </c:pt>
                <c:pt idx="17">
                  <c:v>21737</c:v>
                </c:pt>
                <c:pt idx="18">
                  <c:v>37754</c:v>
                </c:pt>
                <c:pt idx="19">
                  <c:v>41039</c:v>
                </c:pt>
                <c:pt idx="20">
                  <c:v>53989</c:v>
                </c:pt>
                <c:pt idx="21">
                  <c:v>46169</c:v>
                </c:pt>
                <c:pt idx="22">
                  <c:v>56112</c:v>
                </c:pt>
                <c:pt idx="23">
                  <c:v>76087</c:v>
                </c:pt>
                <c:pt idx="24">
                  <c:v>45617</c:v>
                </c:pt>
                <c:pt idx="25">
                  <c:v>84969</c:v>
                </c:pt>
                <c:pt idx="26">
                  <c:v>91906</c:v>
                </c:pt>
                <c:pt idx="27">
                  <c:v>96953</c:v>
                </c:pt>
                <c:pt idx="28">
                  <c:v>79631</c:v>
                </c:pt>
                <c:pt idx="29">
                  <c:v>61526</c:v>
                </c:pt>
                <c:pt idx="30">
                  <c:v>32158</c:v>
                </c:pt>
                <c:pt idx="31">
                  <c:v>69229</c:v>
                </c:pt>
                <c:pt idx="32">
                  <c:v>85866</c:v>
                </c:pt>
                <c:pt idx="33">
                  <c:v>61606</c:v>
                </c:pt>
                <c:pt idx="34">
                  <c:v>71150</c:v>
                </c:pt>
                <c:pt idx="35">
                  <c:v>71186</c:v>
                </c:pt>
                <c:pt idx="36">
                  <c:v>74496</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1261</c:v>
                </c:pt>
                <c:pt idx="1">
                  <c:v>1907</c:v>
                </c:pt>
                <c:pt idx="2">
                  <c:v>791</c:v>
                </c:pt>
                <c:pt idx="3">
                  <c:v>2572</c:v>
                </c:pt>
                <c:pt idx="4">
                  <c:v>3173</c:v>
                </c:pt>
                <c:pt idx="5">
                  <c:v>1961</c:v>
                </c:pt>
                <c:pt idx="6">
                  <c:v>2711</c:v>
                </c:pt>
                <c:pt idx="7">
                  <c:v>1056</c:v>
                </c:pt>
                <c:pt idx="8">
                  <c:v>1480</c:v>
                </c:pt>
                <c:pt idx="9">
                  <c:v>2799</c:v>
                </c:pt>
                <c:pt idx="10">
                  <c:v>3189</c:v>
                </c:pt>
                <c:pt idx="11">
                  <c:v>3546</c:v>
                </c:pt>
                <c:pt idx="12">
                  <c:v>3729</c:v>
                </c:pt>
                <c:pt idx="13">
                  <c:v>3420</c:v>
                </c:pt>
                <c:pt idx="14">
                  <c:v>3902</c:v>
                </c:pt>
                <c:pt idx="15">
                  <c:v>4265</c:v>
                </c:pt>
                <c:pt idx="16">
                  <c:v>4173</c:v>
                </c:pt>
                <c:pt idx="17">
                  <c:v>5551</c:v>
                </c:pt>
                <c:pt idx="18">
                  <c:v>4944</c:v>
                </c:pt>
                <c:pt idx="19">
                  <c:v>5372</c:v>
                </c:pt>
                <c:pt idx="20">
                  <c:v>5007</c:v>
                </c:pt>
                <c:pt idx="21">
                  <c:v>5571</c:v>
                </c:pt>
                <c:pt idx="22">
                  <c:v>4363</c:v>
                </c:pt>
                <c:pt idx="23">
                  <c:v>3927</c:v>
                </c:pt>
                <c:pt idx="24">
                  <c:v>3887</c:v>
                </c:pt>
                <c:pt idx="25">
                  <c:v>2715</c:v>
                </c:pt>
                <c:pt idx="26">
                  <c:v>3452</c:v>
                </c:pt>
                <c:pt idx="27">
                  <c:v>3977</c:v>
                </c:pt>
                <c:pt idx="28">
                  <c:v>3931</c:v>
                </c:pt>
                <c:pt idx="29">
                  <c:v>4370</c:v>
                </c:pt>
                <c:pt idx="30">
                  <c:v>4665</c:v>
                </c:pt>
                <c:pt idx="31">
                  <c:v>4355</c:v>
                </c:pt>
                <c:pt idx="32">
                  <c:v>4853</c:v>
                </c:pt>
                <c:pt idx="33">
                  <c:v>6082</c:v>
                </c:pt>
                <c:pt idx="34">
                  <c:v>5169</c:v>
                </c:pt>
                <c:pt idx="35">
                  <c:v>6135</c:v>
                </c:pt>
                <c:pt idx="36">
                  <c:v>6721</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719</c:v>
                </c:pt>
                <c:pt idx="1">
                  <c:v>4378</c:v>
                </c:pt>
                <c:pt idx="2">
                  <c:v>4050</c:v>
                </c:pt>
                <c:pt idx="3">
                  <c:v>4841</c:v>
                </c:pt>
                <c:pt idx="4">
                  <c:v>5139</c:v>
                </c:pt>
                <c:pt idx="5">
                  <c:v>5048</c:v>
                </c:pt>
                <c:pt idx="6">
                  <c:v>5434</c:v>
                </c:pt>
                <c:pt idx="7">
                  <c:v>3556</c:v>
                </c:pt>
                <c:pt idx="8">
                  <c:v>3356</c:v>
                </c:pt>
                <c:pt idx="9">
                  <c:v>3788</c:v>
                </c:pt>
                <c:pt idx="10">
                  <c:v>3872</c:v>
                </c:pt>
                <c:pt idx="11">
                  <c:v>4397</c:v>
                </c:pt>
                <c:pt idx="12">
                  <c:v>4379</c:v>
                </c:pt>
                <c:pt idx="13">
                  <c:v>4131</c:v>
                </c:pt>
                <c:pt idx="14">
                  <c:v>4743</c:v>
                </c:pt>
                <c:pt idx="15">
                  <c:v>4951</c:v>
                </c:pt>
                <c:pt idx="16">
                  <c:v>4270</c:v>
                </c:pt>
                <c:pt idx="17">
                  <c:v>5051</c:v>
                </c:pt>
                <c:pt idx="18">
                  <c:v>5290</c:v>
                </c:pt>
                <c:pt idx="19">
                  <c:v>5372</c:v>
                </c:pt>
                <c:pt idx="20">
                  <c:v>5610</c:v>
                </c:pt>
                <c:pt idx="21">
                  <c:v>5617</c:v>
                </c:pt>
                <c:pt idx="22">
                  <c:v>5008</c:v>
                </c:pt>
                <c:pt idx="23">
                  <c:v>4921</c:v>
                </c:pt>
                <c:pt idx="24">
                  <c:v>5267</c:v>
                </c:pt>
                <c:pt idx="25">
                  <c:v>4986</c:v>
                </c:pt>
                <c:pt idx="26">
                  <c:v>5197</c:v>
                </c:pt>
                <c:pt idx="27">
                  <c:v>5666</c:v>
                </c:pt>
                <c:pt idx="28">
                  <c:v>5240</c:v>
                </c:pt>
                <c:pt idx="29">
                  <c:v>6035</c:v>
                </c:pt>
                <c:pt idx="30">
                  <c:v>6290</c:v>
                </c:pt>
                <c:pt idx="31">
                  <c:v>6345</c:v>
                </c:pt>
                <c:pt idx="32">
                  <c:v>7198</c:v>
                </c:pt>
                <c:pt idx="33">
                  <c:v>9137</c:v>
                </c:pt>
                <c:pt idx="34">
                  <c:v>6790</c:v>
                </c:pt>
                <c:pt idx="35">
                  <c:v>8011</c:v>
                </c:pt>
                <c:pt idx="36">
                  <c:v>8474</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1941</c:v>
                </c:pt>
                <c:pt idx="1">
                  <c:v>3625</c:v>
                </c:pt>
                <c:pt idx="2">
                  <c:v>3620</c:v>
                </c:pt>
                <c:pt idx="3">
                  <c:v>3738</c:v>
                </c:pt>
                <c:pt idx="4">
                  <c:v>3504</c:v>
                </c:pt>
                <c:pt idx="5">
                  <c:v>4365</c:v>
                </c:pt>
                <c:pt idx="6">
                  <c:v>5084</c:v>
                </c:pt>
                <c:pt idx="7">
                  <c:v>2820</c:v>
                </c:pt>
                <c:pt idx="8">
                  <c:v>2792</c:v>
                </c:pt>
                <c:pt idx="9">
                  <c:v>3029</c:v>
                </c:pt>
                <c:pt idx="10">
                  <c:v>3135</c:v>
                </c:pt>
                <c:pt idx="11">
                  <c:v>3773</c:v>
                </c:pt>
                <c:pt idx="12">
                  <c:v>4332</c:v>
                </c:pt>
                <c:pt idx="13">
                  <c:v>4070</c:v>
                </c:pt>
                <c:pt idx="14">
                  <c:v>4100</c:v>
                </c:pt>
                <c:pt idx="15">
                  <c:v>4756</c:v>
                </c:pt>
                <c:pt idx="16">
                  <c:v>4377</c:v>
                </c:pt>
                <c:pt idx="17">
                  <c:v>4612</c:v>
                </c:pt>
                <c:pt idx="18">
                  <c:v>4311</c:v>
                </c:pt>
                <c:pt idx="19">
                  <c:v>4667</c:v>
                </c:pt>
                <c:pt idx="20">
                  <c:v>4499</c:v>
                </c:pt>
                <c:pt idx="21">
                  <c:v>4689</c:v>
                </c:pt>
                <c:pt idx="22">
                  <c:v>4426</c:v>
                </c:pt>
                <c:pt idx="23">
                  <c:v>4237</c:v>
                </c:pt>
                <c:pt idx="24">
                  <c:v>4582</c:v>
                </c:pt>
                <c:pt idx="25">
                  <c:v>4498</c:v>
                </c:pt>
                <c:pt idx="26">
                  <c:v>4746</c:v>
                </c:pt>
                <c:pt idx="27">
                  <c:v>4853</c:v>
                </c:pt>
                <c:pt idx="28">
                  <c:v>4860</c:v>
                </c:pt>
                <c:pt idx="29">
                  <c:v>5183</c:v>
                </c:pt>
                <c:pt idx="30">
                  <c:v>5293</c:v>
                </c:pt>
                <c:pt idx="31">
                  <c:v>5478</c:v>
                </c:pt>
                <c:pt idx="32">
                  <c:v>5549</c:v>
                </c:pt>
                <c:pt idx="33">
                  <c:v>8166</c:v>
                </c:pt>
                <c:pt idx="34">
                  <c:v>6809</c:v>
                </c:pt>
                <c:pt idx="35">
                  <c:v>6662</c:v>
                </c:pt>
                <c:pt idx="36">
                  <c:v>6520</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mn-lt"/>
                <a:ea typeface="+mn-ea"/>
                <a:cs typeface="+mn-cs"/>
              </a:defRPr>
            </a:pPr>
            <a:r>
              <a:rPr lang="en-GB" sz="1000"/>
              <a:t>Household Income</a:t>
            </a:r>
          </a:p>
        </c:rich>
      </c:tx>
      <c:layout>
        <c:manualLayout>
          <c:xMode val="edge"/>
          <c:yMode val="edge"/>
          <c:x val="0.83919185287447295"/>
          <c:y val="2.7368100957883532E-2"/>
        </c:manualLayout>
      </c:layout>
      <c:overlay val="0"/>
      <c:spPr>
        <a:noFill/>
        <a:ln>
          <a:noFill/>
        </a:ln>
        <a:effectLst/>
      </c:spPr>
    </c:title>
    <c:autoTitleDeleted val="0"/>
    <c:plotArea>
      <c:layout>
        <c:manualLayout>
          <c:layoutTarget val="inner"/>
          <c:xMode val="edge"/>
          <c:yMode val="edge"/>
          <c:x val="6.2990926819470244E-2"/>
          <c:y val="8.272780711594567E-2"/>
          <c:w val="0.92939437681654724"/>
          <c:h val="0.73117437407141805"/>
        </c:manualLayout>
      </c:layout>
      <c:barChart>
        <c:barDir val="col"/>
        <c:grouping val="clustered"/>
        <c:varyColors val="1"/>
        <c:ser>
          <c:idx val="0"/>
          <c:order val="0"/>
          <c:tx>
            <c:strRef>
              <c:f>AOPChartSheet_chart4!$B$1</c:f>
              <c:strCache>
                <c:ptCount val="1"/>
                <c:pt idx="0">
                  <c:v>Series1</c:v>
                </c:pt>
              </c:strCache>
            </c:strRef>
          </c:tx>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CD00-4DAF-9754-1A51E6B053B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D00-4DAF-9754-1A51E6B053BA}"/>
              </c:ext>
            </c:extLst>
          </c:dPt>
          <c:dPt>
            <c:idx val="2"/>
            <c:invertIfNegative val="0"/>
            <c:bubble3D val="0"/>
            <c:spPr>
              <a:solidFill>
                <a:schemeClr val="tx1">
                  <a:lumMod val="75000"/>
                  <a:lumOff val="25000"/>
                </a:schemeClr>
              </a:solidFill>
              <a:ln>
                <a:noFill/>
              </a:ln>
              <a:effectLst/>
            </c:spPr>
            <c:extLst>
              <c:ext xmlns:c16="http://schemas.microsoft.com/office/drawing/2014/chart" uri="{C3380CC4-5D6E-409C-BE32-E72D297353CC}">
                <c16:uniqueId val="{00000005-CD00-4DAF-9754-1A51E6B053BA}"/>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CD00-4DAF-9754-1A51E6B053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AOPChartSheet_chart4!$A$2:$A$20</c:f>
              <c:strCache>
                <c:ptCount val="19"/>
                <c:pt idx="0">
                  <c:v>Negative and nil</c:v>
                </c:pt>
                <c:pt idx="1">
                  <c:v>1-149</c:v>
                </c:pt>
                <c:pt idx="2">
                  <c:v>150-299</c:v>
                </c:pt>
                <c:pt idx="3">
                  <c:v>300-399</c:v>
                </c:pt>
                <c:pt idx="4">
                  <c:v>400-499</c:v>
                </c:pt>
                <c:pt idx="5">
                  <c:v>500-649</c:v>
                </c:pt>
                <c:pt idx="6">
                  <c:v>650-799</c:v>
                </c:pt>
                <c:pt idx="7">
                  <c:v>800-999</c:v>
                </c:pt>
                <c:pt idx="8">
                  <c:v>1000-1249</c:v>
                </c:pt>
                <c:pt idx="9">
                  <c:v>1250-1499</c:v>
                </c:pt>
                <c:pt idx="10">
                  <c:v>1500-1749</c:v>
                </c:pt>
                <c:pt idx="11">
                  <c:v>1750-1999</c:v>
                </c:pt>
                <c:pt idx="12">
                  <c:v>2000-2499</c:v>
                </c:pt>
                <c:pt idx="13">
                  <c:v>2500-2999</c:v>
                </c:pt>
                <c:pt idx="14">
                  <c:v>3000-3499</c:v>
                </c:pt>
                <c:pt idx="15">
                  <c:v>3500-3999</c:v>
                </c:pt>
                <c:pt idx="16">
                  <c:v>4000+</c:v>
                </c:pt>
                <c:pt idx="17">
                  <c:v>Partial</c:v>
                </c:pt>
                <c:pt idx="18">
                  <c:v>Not stated</c:v>
                </c:pt>
              </c:strCache>
            </c:strRef>
          </c:cat>
          <c:val>
            <c:numRef>
              <c:f>AOPChartSheet_chart4!$B$2:$B$20</c:f>
              <c:numCache>
                <c:formatCode>General</c:formatCode>
                <c:ptCount val="19"/>
                <c:pt idx="0">
                  <c:v>549</c:v>
                </c:pt>
                <c:pt idx="1">
                  <c:v>123</c:v>
                </c:pt>
                <c:pt idx="2">
                  <c:v>236</c:v>
                </c:pt>
                <c:pt idx="3">
                  <c:v>280</c:v>
                </c:pt>
                <c:pt idx="4">
                  <c:v>299</c:v>
                </c:pt>
                <c:pt idx="5">
                  <c:v>251</c:v>
                </c:pt>
                <c:pt idx="6">
                  <c:v>256</c:v>
                </c:pt>
                <c:pt idx="7">
                  <c:v>326</c:v>
                </c:pt>
                <c:pt idx="8">
                  <c:v>378</c:v>
                </c:pt>
                <c:pt idx="9">
                  <c:v>343</c:v>
                </c:pt>
                <c:pt idx="10">
                  <c:v>292</c:v>
                </c:pt>
                <c:pt idx="11">
                  <c:v>269</c:v>
                </c:pt>
                <c:pt idx="12">
                  <c:v>562</c:v>
                </c:pt>
                <c:pt idx="13">
                  <c:v>292</c:v>
                </c:pt>
                <c:pt idx="14">
                  <c:v>239</c:v>
                </c:pt>
                <c:pt idx="15">
                  <c:v>228</c:v>
                </c:pt>
                <c:pt idx="16">
                  <c:v>426</c:v>
                </c:pt>
                <c:pt idx="17">
                  <c:v>422</c:v>
                </c:pt>
                <c:pt idx="18">
                  <c:v>123</c:v>
                </c:pt>
              </c:numCache>
            </c:numRef>
          </c:val>
          <c:extLst>
            <c:ext xmlns:c16="http://schemas.microsoft.com/office/drawing/2014/chart" uri="{C3380CC4-5D6E-409C-BE32-E72D297353CC}">
              <c16:uniqueId val="{00000008-CD00-4DAF-9754-1A51E6B053BA}"/>
            </c:ext>
          </c:extLst>
        </c:ser>
        <c:dLbls>
          <c:dLblPos val="inEnd"/>
          <c:showLegendKey val="0"/>
          <c:showVal val="0"/>
          <c:showCatName val="1"/>
          <c:showSerName val="0"/>
          <c:showPercent val="1"/>
          <c:showBubbleSize val="0"/>
        </c:dLbls>
        <c:gapWidth val="355"/>
        <c:overlap val="-70"/>
        <c:axId val="1476568079"/>
        <c:axId val="1375844911"/>
      </c:barChart>
      <c:catAx>
        <c:axId val="1476568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844911"/>
        <c:crosses val="autoZero"/>
        <c:auto val="1"/>
        <c:lblAlgn val="ctr"/>
        <c:lblOffset val="100"/>
        <c:noMultiLvlLbl val="0"/>
      </c:catAx>
      <c:valAx>
        <c:axId val="1375844911"/>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568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3.6</c:v>
                </c:pt>
                <c:pt idx="1">
                  <c:v>9.8699999999999992</c:v>
                </c:pt>
                <c:pt idx="2">
                  <c:v>10.37</c:v>
                </c:pt>
                <c:pt idx="3">
                  <c:v>36.57</c:v>
                </c:pt>
                <c:pt idx="4">
                  <c:v>36.04</c:v>
                </c:pt>
                <c:pt idx="5">
                  <c:v>29.14</c:v>
                </c:pt>
                <c:pt idx="6">
                  <c:v>27.68</c:v>
                </c:pt>
                <c:pt idx="7">
                  <c:v>21.52</c:v>
                </c:pt>
                <c:pt idx="8">
                  <c:v>20.87</c:v>
                </c:pt>
                <c:pt idx="9">
                  <c:v>17.329999999999998</c:v>
                </c:pt>
                <c:pt idx="10">
                  <c:v>8.11</c:v>
                </c:pt>
                <c:pt idx="11">
                  <c:v>9.23</c:v>
                </c:pt>
                <c:pt idx="12">
                  <c:v>-2.69</c:v>
                </c:pt>
                <c:pt idx="13">
                  <c:v>-13.76</c:v>
                </c:pt>
                <c:pt idx="14">
                  <c:v>-7.8</c:v>
                </c:pt>
                <c:pt idx="15">
                  <c:v>-35.71</c:v>
                </c:pt>
                <c:pt idx="16">
                  <c:v>-33.270000000000003</c:v>
                </c:pt>
                <c:pt idx="17">
                  <c:v>-5.68</c:v>
                </c:pt>
                <c:pt idx="18">
                  <c:v>-3.16</c:v>
                </c:pt>
                <c:pt idx="19">
                  <c:v>-4.05</c:v>
                </c:pt>
                <c:pt idx="20">
                  <c:v>1.69</c:v>
                </c:pt>
                <c:pt idx="21">
                  <c:v>0.13</c:v>
                </c:pt>
                <c:pt idx="22">
                  <c:v>9.11</c:v>
                </c:pt>
                <c:pt idx="23">
                  <c:v>13.15</c:v>
                </c:pt>
                <c:pt idx="24">
                  <c:v>11.92</c:v>
                </c:pt>
                <c:pt idx="25">
                  <c:v>20.98</c:v>
                </c:pt>
                <c:pt idx="26">
                  <c:v>13.43</c:v>
                </c:pt>
                <c:pt idx="27">
                  <c:v>11.41</c:v>
                </c:pt>
                <c:pt idx="28">
                  <c:v>5.08</c:v>
                </c:pt>
                <c:pt idx="29">
                  <c:v>4.91</c:v>
                </c:pt>
                <c:pt idx="30">
                  <c:v>-4.88</c:v>
                </c:pt>
                <c:pt idx="31">
                  <c:v>3.01</c:v>
                </c:pt>
                <c:pt idx="32">
                  <c:v>3.56</c:v>
                </c:pt>
                <c:pt idx="33">
                  <c:v>-1.85</c:v>
                </c:pt>
                <c:pt idx="34">
                  <c:v>-4.6100000000000003</c:v>
                </c:pt>
                <c:pt idx="35">
                  <c:v>-8.4600000000000009</c:v>
                </c:pt>
                <c:pt idx="36">
                  <c:v>1.86</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-0.47</c:v>
                </c:pt>
                <c:pt idx="1">
                  <c:v>-1.08</c:v>
                </c:pt>
                <c:pt idx="2">
                  <c:v>-1.17</c:v>
                </c:pt>
                <c:pt idx="3">
                  <c:v>-1.02</c:v>
                </c:pt>
                <c:pt idx="4">
                  <c:v>-1.47</c:v>
                </c:pt>
                <c:pt idx="5">
                  <c:v>-0.68</c:v>
                </c:pt>
                <c:pt idx="6">
                  <c:v>-0.36</c:v>
                </c:pt>
                <c:pt idx="7">
                  <c:v>-0.98</c:v>
                </c:pt>
                <c:pt idx="8">
                  <c:v>-0.36</c:v>
                </c:pt>
                <c:pt idx="9">
                  <c:v>0.36</c:v>
                </c:pt>
                <c:pt idx="10">
                  <c:v>1.19</c:v>
                </c:pt>
                <c:pt idx="11">
                  <c:v>1.43</c:v>
                </c:pt>
                <c:pt idx="12">
                  <c:v>2.0299999999999998</c:v>
                </c:pt>
                <c:pt idx="13">
                  <c:v>2.4300000000000002</c:v>
                </c:pt>
                <c:pt idx="14">
                  <c:v>3.04</c:v>
                </c:pt>
                <c:pt idx="15">
                  <c:v>3.08</c:v>
                </c:pt>
                <c:pt idx="16">
                  <c:v>2.54</c:v>
                </c:pt>
                <c:pt idx="17">
                  <c:v>1.76</c:v>
                </c:pt>
                <c:pt idx="18">
                  <c:v>1.79</c:v>
                </c:pt>
                <c:pt idx="19">
                  <c:v>1.71</c:v>
                </c:pt>
                <c:pt idx="20">
                  <c:v>0.91</c:v>
                </c:pt>
                <c:pt idx="21">
                  <c:v>0.31</c:v>
                </c:pt>
                <c:pt idx="22">
                  <c:v>0.47</c:v>
                </c:pt>
                <c:pt idx="23">
                  <c:v>0.23</c:v>
                </c:pt>
                <c:pt idx="24">
                  <c:v>0.01</c:v>
                </c:pt>
                <c:pt idx="25">
                  <c:v>0.08</c:v>
                </c:pt>
                <c:pt idx="26">
                  <c:v>0.06</c:v>
                </c:pt>
                <c:pt idx="27">
                  <c:v>0.35</c:v>
                </c:pt>
                <c:pt idx="28">
                  <c:v>0.73</c:v>
                </c:pt>
                <c:pt idx="29">
                  <c:v>1.17</c:v>
                </c:pt>
                <c:pt idx="30">
                  <c:v>1.1200000000000001</c:v>
                </c:pt>
                <c:pt idx="31">
                  <c:v>1.61</c:v>
                </c:pt>
                <c:pt idx="32">
                  <c:v>1.43</c:v>
                </c:pt>
                <c:pt idx="33">
                  <c:v>1.47</c:v>
                </c:pt>
                <c:pt idx="34">
                  <c:v>0.52</c:v>
                </c:pt>
                <c:pt idx="35">
                  <c:v>1.29</c:v>
                </c:pt>
                <c:pt idx="36">
                  <c:v>0.79</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-0.21</c:v>
                </c:pt>
                <c:pt idx="1">
                  <c:v>-0.93</c:v>
                </c:pt>
                <c:pt idx="2">
                  <c:v>-0.64</c:v>
                </c:pt>
                <c:pt idx="3">
                  <c:v>-1.1499999999999999</c:v>
                </c:pt>
                <c:pt idx="4">
                  <c:v>-1.43</c:v>
                </c:pt>
                <c:pt idx="5">
                  <c:v>-0.7</c:v>
                </c:pt>
                <c:pt idx="6">
                  <c:v>-0.52</c:v>
                </c:pt>
                <c:pt idx="7">
                  <c:v>-1.04</c:v>
                </c:pt>
                <c:pt idx="8">
                  <c:v>-0.54</c:v>
                </c:pt>
                <c:pt idx="9">
                  <c:v>-0.13</c:v>
                </c:pt>
                <c:pt idx="10">
                  <c:v>0.73</c:v>
                </c:pt>
                <c:pt idx="11">
                  <c:v>1.1100000000000001</c:v>
                </c:pt>
                <c:pt idx="12">
                  <c:v>1.63</c:v>
                </c:pt>
                <c:pt idx="13">
                  <c:v>2.4700000000000002</c:v>
                </c:pt>
                <c:pt idx="14">
                  <c:v>2.08</c:v>
                </c:pt>
                <c:pt idx="15">
                  <c:v>2.29</c:v>
                </c:pt>
                <c:pt idx="16">
                  <c:v>1.47</c:v>
                </c:pt>
                <c:pt idx="17">
                  <c:v>1.1499999999999999</c:v>
                </c:pt>
                <c:pt idx="18">
                  <c:v>1.38</c:v>
                </c:pt>
                <c:pt idx="19">
                  <c:v>0.95</c:v>
                </c:pt>
                <c:pt idx="20">
                  <c:v>1.0900000000000001</c:v>
                </c:pt>
                <c:pt idx="21">
                  <c:v>0.47</c:v>
                </c:pt>
                <c:pt idx="22">
                  <c:v>0.66</c:v>
                </c:pt>
                <c:pt idx="23">
                  <c:v>0.7</c:v>
                </c:pt>
                <c:pt idx="24">
                  <c:v>0.22</c:v>
                </c:pt>
                <c:pt idx="25">
                  <c:v>0.79</c:v>
                </c:pt>
                <c:pt idx="26">
                  <c:v>1.1200000000000001</c:v>
                </c:pt>
                <c:pt idx="27">
                  <c:v>1.27</c:v>
                </c:pt>
                <c:pt idx="28">
                  <c:v>1.77</c:v>
                </c:pt>
                <c:pt idx="29">
                  <c:v>1.94</c:v>
                </c:pt>
                <c:pt idx="30">
                  <c:v>2.37</c:v>
                </c:pt>
                <c:pt idx="31">
                  <c:v>2.06</c:v>
                </c:pt>
                <c:pt idx="32">
                  <c:v>1.87</c:v>
                </c:pt>
                <c:pt idx="33">
                  <c:v>1.71</c:v>
                </c:pt>
                <c:pt idx="34">
                  <c:v>0.19</c:v>
                </c:pt>
                <c:pt idx="35">
                  <c:v>0.91</c:v>
                </c:pt>
                <c:pt idx="36">
                  <c:v>0.56000000000000005</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-0.22</c:v>
                </c:pt>
                <c:pt idx="1">
                  <c:v>-0.32</c:v>
                </c:pt>
                <c:pt idx="2">
                  <c:v>-0.15</c:v>
                </c:pt>
                <c:pt idx="3">
                  <c:v>-0.01</c:v>
                </c:pt>
                <c:pt idx="4">
                  <c:v>-0.22</c:v>
                </c:pt>
                <c:pt idx="5">
                  <c:v>0</c:v>
                </c:pt>
                <c:pt idx="6">
                  <c:v>0.28999999999999998</c:v>
                </c:pt>
                <c:pt idx="7">
                  <c:v>0.82</c:v>
                </c:pt>
                <c:pt idx="8">
                  <c:v>1.17</c:v>
                </c:pt>
                <c:pt idx="9">
                  <c:v>1.55</c:v>
                </c:pt>
                <c:pt idx="10">
                  <c:v>2.02</c:v>
                </c:pt>
                <c:pt idx="11">
                  <c:v>2.4300000000000002</c:v>
                </c:pt>
                <c:pt idx="12">
                  <c:v>2.82</c:v>
                </c:pt>
                <c:pt idx="13">
                  <c:v>2.31</c:v>
                </c:pt>
                <c:pt idx="14">
                  <c:v>2.29</c:v>
                </c:pt>
                <c:pt idx="15">
                  <c:v>2.36</c:v>
                </c:pt>
                <c:pt idx="16">
                  <c:v>2.44</c:v>
                </c:pt>
                <c:pt idx="17">
                  <c:v>1.98</c:v>
                </c:pt>
                <c:pt idx="18">
                  <c:v>1.57</c:v>
                </c:pt>
                <c:pt idx="19">
                  <c:v>1.59</c:v>
                </c:pt>
                <c:pt idx="20">
                  <c:v>1.37</c:v>
                </c:pt>
                <c:pt idx="21">
                  <c:v>1.1000000000000001</c:v>
                </c:pt>
                <c:pt idx="22">
                  <c:v>1.31</c:v>
                </c:pt>
                <c:pt idx="23">
                  <c:v>0.97</c:v>
                </c:pt>
                <c:pt idx="24">
                  <c:v>0.83</c:v>
                </c:pt>
                <c:pt idx="25">
                  <c:v>0.86</c:v>
                </c:pt>
                <c:pt idx="26">
                  <c:v>1.43</c:v>
                </c:pt>
                <c:pt idx="27">
                  <c:v>1.83</c:v>
                </c:pt>
                <c:pt idx="28">
                  <c:v>1.94</c:v>
                </c:pt>
                <c:pt idx="29">
                  <c:v>2.19</c:v>
                </c:pt>
                <c:pt idx="30">
                  <c:v>2.39</c:v>
                </c:pt>
                <c:pt idx="31">
                  <c:v>2.06</c:v>
                </c:pt>
                <c:pt idx="32">
                  <c:v>2.1800000000000002</c:v>
                </c:pt>
                <c:pt idx="33">
                  <c:v>2.08</c:v>
                </c:pt>
                <c:pt idx="34">
                  <c:v>0.71</c:v>
                </c:pt>
                <c:pt idx="35">
                  <c:v>0.87</c:v>
                </c:pt>
                <c:pt idx="36">
                  <c:v>0.76</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19</c:v>
                </c:pt>
                <c:pt idx="1">
                  <c:v>12</c:v>
                </c:pt>
                <c:pt idx="2">
                  <c:v>21</c:v>
                </c:pt>
                <c:pt idx="3">
                  <c:v>17</c:v>
                </c:pt>
                <c:pt idx="4">
                  <c:v>23</c:v>
                </c:pt>
                <c:pt idx="5">
                  <c:v>9</c:v>
                </c:pt>
                <c:pt idx="6">
                  <c:v>17</c:v>
                </c:pt>
                <c:pt idx="7">
                  <c:v>12</c:v>
                </c:pt>
                <c:pt idx="8">
                  <c:v>16</c:v>
                </c:pt>
                <c:pt idx="9">
                  <c:v>11</c:v>
                </c:pt>
                <c:pt idx="10">
                  <c:v>10</c:v>
                </c:pt>
                <c:pt idx="11">
                  <c:v>13</c:v>
                </c:pt>
                <c:pt idx="12">
                  <c:v>11</c:v>
                </c:pt>
                <c:pt idx="13">
                  <c:v>13</c:v>
                </c:pt>
                <c:pt idx="14">
                  <c:v>15</c:v>
                </c:pt>
                <c:pt idx="15">
                  <c:v>15</c:v>
                </c:pt>
                <c:pt idx="16">
                  <c:v>15</c:v>
                </c:pt>
                <c:pt idx="17">
                  <c:v>17</c:v>
                </c:pt>
                <c:pt idx="18">
                  <c:v>23</c:v>
                </c:pt>
                <c:pt idx="19">
                  <c:v>20</c:v>
                </c:pt>
                <c:pt idx="20">
                  <c:v>19</c:v>
                </c:pt>
                <c:pt idx="21">
                  <c:v>10</c:v>
                </c:pt>
                <c:pt idx="22">
                  <c:v>15</c:v>
                </c:pt>
                <c:pt idx="23">
                  <c:v>20</c:v>
                </c:pt>
                <c:pt idx="24">
                  <c:v>19</c:v>
                </c:pt>
                <c:pt idx="25">
                  <c:v>14</c:v>
                </c:pt>
                <c:pt idx="26">
                  <c:v>22</c:v>
                </c:pt>
                <c:pt idx="27">
                  <c:v>20</c:v>
                </c:pt>
                <c:pt idx="28">
                  <c:v>16</c:v>
                </c:pt>
                <c:pt idx="29">
                  <c:v>19</c:v>
                </c:pt>
                <c:pt idx="30">
                  <c:v>13</c:v>
                </c:pt>
                <c:pt idx="31">
                  <c:v>14</c:v>
                </c:pt>
                <c:pt idx="32">
                  <c:v>15</c:v>
                </c:pt>
                <c:pt idx="33">
                  <c:v>13</c:v>
                </c:pt>
                <c:pt idx="34">
                  <c:v>12</c:v>
                </c:pt>
                <c:pt idx="35">
                  <c:v>13</c:v>
                </c:pt>
                <c:pt idx="36">
                  <c:v>15</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49</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51</c:v>
                </c:pt>
                <c:pt idx="17">
                  <c:v>50</c:v>
                </c:pt>
                <c:pt idx="18">
                  <c:v>50</c:v>
                </c:pt>
                <c:pt idx="19">
                  <c:v>50</c:v>
                </c:pt>
                <c:pt idx="20">
                  <c:v>50</c:v>
                </c:pt>
                <c:pt idx="21">
                  <c:v>50</c:v>
                </c:pt>
                <c:pt idx="22">
                  <c:v>50</c:v>
                </c:pt>
                <c:pt idx="23">
                  <c:v>50</c:v>
                </c:pt>
                <c:pt idx="24">
                  <c:v>50</c:v>
                </c:pt>
                <c:pt idx="25">
                  <c:v>49</c:v>
                </c:pt>
                <c:pt idx="26">
                  <c:v>49</c:v>
                </c:pt>
                <c:pt idx="27">
                  <c:v>49</c:v>
                </c:pt>
                <c:pt idx="28">
                  <c:v>49</c:v>
                </c:pt>
                <c:pt idx="29">
                  <c:v>49</c:v>
                </c:pt>
                <c:pt idx="30">
                  <c:v>48</c:v>
                </c:pt>
                <c:pt idx="31">
                  <c:v>48</c:v>
                </c:pt>
                <c:pt idx="32">
                  <c:v>48</c:v>
                </c:pt>
                <c:pt idx="33">
                  <c:v>46</c:v>
                </c:pt>
                <c:pt idx="34">
                  <c:v>47</c:v>
                </c:pt>
                <c:pt idx="35">
                  <c:v>43</c:v>
                </c:pt>
                <c:pt idx="36">
                  <c:v>42</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48</c:v>
                </c:pt>
                <c:pt idx="1">
                  <c:v>50</c:v>
                </c:pt>
                <c:pt idx="2">
                  <c:v>50</c:v>
                </c:pt>
                <c:pt idx="3">
                  <c:v>50</c:v>
                </c:pt>
                <c:pt idx="4">
                  <c:v>50</c:v>
                </c:pt>
                <c:pt idx="5">
                  <c:v>51</c:v>
                </c:pt>
                <c:pt idx="6">
                  <c:v>50</c:v>
                </c:pt>
                <c:pt idx="7">
                  <c:v>50</c:v>
                </c:pt>
                <c:pt idx="8">
                  <c:v>50</c:v>
                </c:pt>
                <c:pt idx="9">
                  <c:v>50</c:v>
                </c:pt>
                <c:pt idx="10">
                  <c:v>50</c:v>
                </c:pt>
                <c:pt idx="11">
                  <c:v>50</c:v>
                </c:pt>
                <c:pt idx="12">
                  <c:v>50</c:v>
                </c:pt>
                <c:pt idx="13">
                  <c:v>51</c:v>
                </c:pt>
                <c:pt idx="14">
                  <c:v>50</c:v>
                </c:pt>
                <c:pt idx="15">
                  <c:v>51</c:v>
                </c:pt>
                <c:pt idx="16">
                  <c:v>51</c:v>
                </c:pt>
                <c:pt idx="17">
                  <c:v>50</c:v>
                </c:pt>
                <c:pt idx="18">
                  <c:v>50</c:v>
                </c:pt>
                <c:pt idx="19">
                  <c:v>50</c:v>
                </c:pt>
                <c:pt idx="20">
                  <c:v>49</c:v>
                </c:pt>
                <c:pt idx="21">
                  <c:v>49</c:v>
                </c:pt>
                <c:pt idx="22">
                  <c:v>48</c:v>
                </c:pt>
                <c:pt idx="23">
                  <c:v>48</c:v>
                </c:pt>
                <c:pt idx="24">
                  <c:v>49</c:v>
                </c:pt>
                <c:pt idx="25">
                  <c:v>47</c:v>
                </c:pt>
                <c:pt idx="26">
                  <c:v>48</c:v>
                </c:pt>
                <c:pt idx="27">
                  <c:v>48</c:v>
                </c:pt>
                <c:pt idx="28">
                  <c:v>46</c:v>
                </c:pt>
                <c:pt idx="29">
                  <c:v>46</c:v>
                </c:pt>
                <c:pt idx="30">
                  <c:v>45</c:v>
                </c:pt>
                <c:pt idx="31">
                  <c:v>46</c:v>
                </c:pt>
                <c:pt idx="32">
                  <c:v>46</c:v>
                </c:pt>
                <c:pt idx="33">
                  <c:v>47</c:v>
                </c:pt>
                <c:pt idx="34">
                  <c:v>45</c:v>
                </c:pt>
                <c:pt idx="35">
                  <c:v>43</c:v>
                </c:pt>
                <c:pt idx="36">
                  <c:v>42</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48</c:v>
                </c:pt>
                <c:pt idx="1">
                  <c:v>49</c:v>
                </c:pt>
                <c:pt idx="2">
                  <c:v>48</c:v>
                </c:pt>
                <c:pt idx="3">
                  <c:v>49</c:v>
                </c:pt>
                <c:pt idx="4">
                  <c:v>49</c:v>
                </c:pt>
                <c:pt idx="5">
                  <c:v>49</c:v>
                </c:pt>
                <c:pt idx="6">
                  <c:v>49</c:v>
                </c:pt>
                <c:pt idx="7">
                  <c:v>50</c:v>
                </c:pt>
                <c:pt idx="8">
                  <c:v>49</c:v>
                </c:pt>
                <c:pt idx="9">
                  <c:v>50</c:v>
                </c:pt>
                <c:pt idx="10">
                  <c:v>50</c:v>
                </c:pt>
                <c:pt idx="11">
                  <c:v>49</c:v>
                </c:pt>
                <c:pt idx="12">
                  <c:v>49</c:v>
                </c:pt>
                <c:pt idx="13">
                  <c:v>50</c:v>
                </c:pt>
                <c:pt idx="14">
                  <c:v>49</c:v>
                </c:pt>
                <c:pt idx="15">
                  <c:v>49</c:v>
                </c:pt>
                <c:pt idx="16">
                  <c:v>50</c:v>
                </c:pt>
                <c:pt idx="17">
                  <c:v>49</c:v>
                </c:pt>
                <c:pt idx="18">
                  <c:v>49</c:v>
                </c:pt>
                <c:pt idx="19">
                  <c:v>49</c:v>
                </c:pt>
                <c:pt idx="20">
                  <c:v>48</c:v>
                </c:pt>
                <c:pt idx="21">
                  <c:v>48</c:v>
                </c:pt>
                <c:pt idx="22">
                  <c:v>48</c:v>
                </c:pt>
                <c:pt idx="23">
                  <c:v>48</c:v>
                </c:pt>
                <c:pt idx="24">
                  <c:v>48</c:v>
                </c:pt>
                <c:pt idx="25">
                  <c:v>47</c:v>
                </c:pt>
                <c:pt idx="26">
                  <c:v>47</c:v>
                </c:pt>
                <c:pt idx="27">
                  <c:v>46</c:v>
                </c:pt>
                <c:pt idx="28">
                  <c:v>46</c:v>
                </c:pt>
                <c:pt idx="29">
                  <c:v>45</c:v>
                </c:pt>
                <c:pt idx="30">
                  <c:v>45</c:v>
                </c:pt>
                <c:pt idx="31">
                  <c:v>45</c:v>
                </c:pt>
                <c:pt idx="32">
                  <c:v>46</c:v>
                </c:pt>
                <c:pt idx="33">
                  <c:v>41</c:v>
                </c:pt>
                <c:pt idx="34">
                  <c:v>41</c:v>
                </c:pt>
                <c:pt idx="35">
                  <c:v>39</c:v>
                </c:pt>
                <c:pt idx="36">
                  <c:v>39</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7.52</c:v>
                </c:pt>
                <c:pt idx="1">
                  <c:v>6.96</c:v>
                </c:pt>
                <c:pt idx="2">
                  <c:v>6.59</c:v>
                </c:pt>
                <c:pt idx="3">
                  <c:v>5.89</c:v>
                </c:pt>
                <c:pt idx="4">
                  <c:v>5.69</c:v>
                </c:pt>
                <c:pt idx="5">
                  <c:v>5.2</c:v>
                </c:pt>
                <c:pt idx="6">
                  <c:v>5.63</c:v>
                </c:pt>
                <c:pt idx="7">
                  <c:v>5.77</c:v>
                </c:pt>
                <c:pt idx="8">
                  <c:v>6.62</c:v>
                </c:pt>
                <c:pt idx="9">
                  <c:v>7.23</c:v>
                </c:pt>
                <c:pt idx="10">
                  <c:v>8.1199999999999992</c:v>
                </c:pt>
                <c:pt idx="11">
                  <c:v>7.41</c:v>
                </c:pt>
                <c:pt idx="12">
                  <c:v>7.59</c:v>
                </c:pt>
                <c:pt idx="13">
                  <c:v>7.18</c:v>
                </c:pt>
                <c:pt idx="14">
                  <c:v>6.97</c:v>
                </c:pt>
                <c:pt idx="15">
                  <c:v>8.11</c:v>
                </c:pt>
                <c:pt idx="16">
                  <c:v>7.33</c:v>
                </c:pt>
                <c:pt idx="17">
                  <c:v>7.62</c:v>
                </c:pt>
                <c:pt idx="18">
                  <c:v>8.07</c:v>
                </c:pt>
                <c:pt idx="19">
                  <c:v>7.79</c:v>
                </c:pt>
                <c:pt idx="20">
                  <c:v>6.52</c:v>
                </c:pt>
                <c:pt idx="21">
                  <c:v>5.92</c:v>
                </c:pt>
                <c:pt idx="22">
                  <c:v>6.12</c:v>
                </c:pt>
                <c:pt idx="23">
                  <c:v>5.93</c:v>
                </c:pt>
                <c:pt idx="24">
                  <c:v>6.05</c:v>
                </c:pt>
                <c:pt idx="25">
                  <c:v>5.95</c:v>
                </c:pt>
                <c:pt idx="26">
                  <c:v>5.73</c:v>
                </c:pt>
                <c:pt idx="27">
                  <c:v>4.37</c:v>
                </c:pt>
                <c:pt idx="28">
                  <c:v>4.01</c:v>
                </c:pt>
                <c:pt idx="29">
                  <c:v>3.82</c:v>
                </c:pt>
                <c:pt idx="30">
                  <c:v>3.76</c:v>
                </c:pt>
                <c:pt idx="31">
                  <c:v>3.56</c:v>
                </c:pt>
                <c:pt idx="32">
                  <c:v>4</c:v>
                </c:pt>
                <c:pt idx="33">
                  <c:v>3.69</c:v>
                </c:pt>
                <c:pt idx="34">
                  <c:v>4.7300000000000004</c:v>
                </c:pt>
                <c:pt idx="35">
                  <c:v>4.99</c:v>
                </c:pt>
                <c:pt idx="36">
                  <c:v>4.6500000000000004</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6.57</c:v>
                </c:pt>
                <c:pt idx="1">
                  <c:v>6.61</c:v>
                </c:pt>
                <c:pt idx="2">
                  <c:v>6.59</c:v>
                </c:pt>
                <c:pt idx="3">
                  <c:v>6.52</c:v>
                </c:pt>
                <c:pt idx="4">
                  <c:v>6.49</c:v>
                </c:pt>
                <c:pt idx="5">
                  <c:v>6.51</c:v>
                </c:pt>
                <c:pt idx="6">
                  <c:v>6.5</c:v>
                </c:pt>
                <c:pt idx="7">
                  <c:v>6.39</c:v>
                </c:pt>
                <c:pt idx="8">
                  <c:v>6.23</c:v>
                </c:pt>
                <c:pt idx="9">
                  <c:v>6.16</c:v>
                </c:pt>
                <c:pt idx="10">
                  <c:v>6.03</c:v>
                </c:pt>
                <c:pt idx="11">
                  <c:v>5.9</c:v>
                </c:pt>
                <c:pt idx="12">
                  <c:v>5.78</c:v>
                </c:pt>
                <c:pt idx="13">
                  <c:v>5.66</c:v>
                </c:pt>
                <c:pt idx="14">
                  <c:v>5.61</c:v>
                </c:pt>
                <c:pt idx="15">
                  <c:v>5.58</c:v>
                </c:pt>
                <c:pt idx="16">
                  <c:v>5.57</c:v>
                </c:pt>
                <c:pt idx="17">
                  <c:v>5.54</c:v>
                </c:pt>
                <c:pt idx="18">
                  <c:v>5.5</c:v>
                </c:pt>
                <c:pt idx="19">
                  <c:v>5.45</c:v>
                </c:pt>
                <c:pt idx="20">
                  <c:v>5.33</c:v>
                </c:pt>
                <c:pt idx="21">
                  <c:v>5.18</c:v>
                </c:pt>
                <c:pt idx="22">
                  <c:v>5.09</c:v>
                </c:pt>
                <c:pt idx="23">
                  <c:v>5.0199999999999996</c:v>
                </c:pt>
                <c:pt idx="24">
                  <c:v>4.97</c:v>
                </c:pt>
                <c:pt idx="25">
                  <c:v>4.8499999999999996</c:v>
                </c:pt>
                <c:pt idx="26">
                  <c:v>4.76</c:v>
                </c:pt>
                <c:pt idx="27">
                  <c:v>4.72</c:v>
                </c:pt>
                <c:pt idx="28">
                  <c:v>4.7300000000000004</c:v>
                </c:pt>
                <c:pt idx="29">
                  <c:v>4.7300000000000004</c:v>
                </c:pt>
                <c:pt idx="30">
                  <c:v>4.72</c:v>
                </c:pt>
                <c:pt idx="31">
                  <c:v>4.79</c:v>
                </c:pt>
                <c:pt idx="32">
                  <c:v>4.92</c:v>
                </c:pt>
                <c:pt idx="33">
                  <c:v>5.01</c:v>
                </c:pt>
                <c:pt idx="34">
                  <c:v>5.21</c:v>
                </c:pt>
                <c:pt idx="35">
                  <c:v>5.32</c:v>
                </c:pt>
                <c:pt idx="36">
                  <c:v>5.49</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5.76</c:v>
                </c:pt>
                <c:pt idx="1">
                  <c:v>5.67</c:v>
                </c:pt>
                <c:pt idx="2">
                  <c:v>5.63</c:v>
                </c:pt>
                <c:pt idx="3">
                  <c:v>5.56</c:v>
                </c:pt>
                <c:pt idx="4">
                  <c:v>5.64</c:v>
                </c:pt>
                <c:pt idx="5">
                  <c:v>5.83</c:v>
                </c:pt>
                <c:pt idx="6">
                  <c:v>5.81</c:v>
                </c:pt>
                <c:pt idx="7">
                  <c:v>5.79</c:v>
                </c:pt>
                <c:pt idx="8">
                  <c:v>5.71</c:v>
                </c:pt>
                <c:pt idx="9">
                  <c:v>5.73</c:v>
                </c:pt>
                <c:pt idx="10">
                  <c:v>5.68</c:v>
                </c:pt>
                <c:pt idx="11">
                  <c:v>5.6</c:v>
                </c:pt>
                <c:pt idx="12">
                  <c:v>5.47</c:v>
                </c:pt>
                <c:pt idx="13">
                  <c:v>5.44</c:v>
                </c:pt>
                <c:pt idx="14">
                  <c:v>5.33</c:v>
                </c:pt>
                <c:pt idx="15">
                  <c:v>5.37</c:v>
                </c:pt>
                <c:pt idx="16">
                  <c:v>5.33</c:v>
                </c:pt>
                <c:pt idx="17">
                  <c:v>5.3</c:v>
                </c:pt>
                <c:pt idx="18">
                  <c:v>5.23</c:v>
                </c:pt>
                <c:pt idx="19">
                  <c:v>5.21</c:v>
                </c:pt>
                <c:pt idx="20">
                  <c:v>5.13</c:v>
                </c:pt>
                <c:pt idx="21">
                  <c:v>5</c:v>
                </c:pt>
                <c:pt idx="22">
                  <c:v>4.8899999999999997</c:v>
                </c:pt>
                <c:pt idx="23">
                  <c:v>4.82</c:v>
                </c:pt>
                <c:pt idx="24">
                  <c:v>4.76</c:v>
                </c:pt>
                <c:pt idx="25">
                  <c:v>4.7</c:v>
                </c:pt>
                <c:pt idx="26">
                  <c:v>4.6500000000000004</c:v>
                </c:pt>
                <c:pt idx="27">
                  <c:v>4.6399999999999997</c:v>
                </c:pt>
                <c:pt idx="28">
                  <c:v>4.63</c:v>
                </c:pt>
                <c:pt idx="29">
                  <c:v>4.6900000000000004</c:v>
                </c:pt>
                <c:pt idx="30">
                  <c:v>4.71</c:v>
                </c:pt>
                <c:pt idx="31">
                  <c:v>4.78</c:v>
                </c:pt>
                <c:pt idx="32">
                  <c:v>4.92</c:v>
                </c:pt>
                <c:pt idx="33">
                  <c:v>5</c:v>
                </c:pt>
                <c:pt idx="34">
                  <c:v>5.2</c:v>
                </c:pt>
                <c:pt idx="35">
                  <c:v>5.31</c:v>
                </c:pt>
                <c:pt idx="36">
                  <c:v>5.47</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3.34</c:v>
                </c:pt>
                <c:pt idx="1">
                  <c:v>3.05</c:v>
                </c:pt>
                <c:pt idx="2">
                  <c:v>3.01</c:v>
                </c:pt>
                <c:pt idx="3">
                  <c:v>3.06</c:v>
                </c:pt>
                <c:pt idx="4">
                  <c:v>3.09</c:v>
                </c:pt>
                <c:pt idx="5">
                  <c:v>3.32</c:v>
                </c:pt>
                <c:pt idx="6">
                  <c:v>3.39</c:v>
                </c:pt>
                <c:pt idx="7">
                  <c:v>3.5</c:v>
                </c:pt>
                <c:pt idx="8">
                  <c:v>3.53</c:v>
                </c:pt>
                <c:pt idx="9">
                  <c:v>3.58</c:v>
                </c:pt>
                <c:pt idx="10">
                  <c:v>3.54</c:v>
                </c:pt>
                <c:pt idx="11">
                  <c:v>3.56</c:v>
                </c:pt>
                <c:pt idx="12">
                  <c:v>3.5</c:v>
                </c:pt>
                <c:pt idx="13">
                  <c:v>3.49</c:v>
                </c:pt>
                <c:pt idx="14">
                  <c:v>3.46</c:v>
                </c:pt>
                <c:pt idx="15">
                  <c:v>3.4</c:v>
                </c:pt>
                <c:pt idx="16">
                  <c:v>3.43</c:v>
                </c:pt>
                <c:pt idx="17">
                  <c:v>3.37</c:v>
                </c:pt>
                <c:pt idx="18">
                  <c:v>3.34</c:v>
                </c:pt>
                <c:pt idx="19">
                  <c:v>3.26</c:v>
                </c:pt>
                <c:pt idx="20">
                  <c:v>3.3</c:v>
                </c:pt>
                <c:pt idx="21">
                  <c:v>3.17</c:v>
                </c:pt>
                <c:pt idx="22">
                  <c:v>3.13</c:v>
                </c:pt>
                <c:pt idx="23">
                  <c:v>3.09</c:v>
                </c:pt>
                <c:pt idx="24">
                  <c:v>3.12</c:v>
                </c:pt>
                <c:pt idx="25">
                  <c:v>3.14</c:v>
                </c:pt>
                <c:pt idx="26">
                  <c:v>3.11</c:v>
                </c:pt>
                <c:pt idx="27">
                  <c:v>3.19</c:v>
                </c:pt>
                <c:pt idx="28">
                  <c:v>3.25</c:v>
                </c:pt>
                <c:pt idx="29">
                  <c:v>3.36</c:v>
                </c:pt>
                <c:pt idx="30">
                  <c:v>3.45</c:v>
                </c:pt>
                <c:pt idx="31">
                  <c:v>3.54</c:v>
                </c:pt>
                <c:pt idx="32">
                  <c:v>3.65</c:v>
                </c:pt>
                <c:pt idx="33">
                  <c:v>3.75</c:v>
                </c:pt>
                <c:pt idx="34">
                  <c:v>3.94</c:v>
                </c:pt>
                <c:pt idx="35">
                  <c:v>4.0999999999999996</c:v>
                </c:pt>
                <c:pt idx="36">
                  <c:v>4.33</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5</c:v>
                </c:pt>
                <c:pt idx="1">
                  <c:v>2.71</c:v>
                </c:pt>
                <c:pt idx="2">
                  <c:v>0.42</c:v>
                </c:pt>
                <c:pt idx="3">
                  <c:v>-0.1</c:v>
                </c:pt>
                <c:pt idx="4">
                  <c:v>0.78</c:v>
                </c:pt>
                <c:pt idx="5">
                  <c:v>0.63</c:v>
                </c:pt>
                <c:pt idx="6">
                  <c:v>-0.94</c:v>
                </c:pt>
                <c:pt idx="7">
                  <c:v>-1.91</c:v>
                </c:pt>
                <c:pt idx="8">
                  <c:v>-0.72</c:v>
                </c:pt>
                <c:pt idx="9">
                  <c:v>2.67</c:v>
                </c:pt>
                <c:pt idx="10">
                  <c:v>0.87</c:v>
                </c:pt>
                <c:pt idx="11">
                  <c:v>-1.61</c:v>
                </c:pt>
                <c:pt idx="12">
                  <c:v>-1.81</c:v>
                </c:pt>
                <c:pt idx="13">
                  <c:v>-3.18</c:v>
                </c:pt>
                <c:pt idx="14">
                  <c:v>1.55</c:v>
                </c:pt>
                <c:pt idx="15">
                  <c:v>2.76</c:v>
                </c:pt>
                <c:pt idx="16">
                  <c:v>6.77</c:v>
                </c:pt>
                <c:pt idx="17">
                  <c:v>6.94</c:v>
                </c:pt>
                <c:pt idx="18">
                  <c:v>5.12</c:v>
                </c:pt>
                <c:pt idx="19">
                  <c:v>3.26</c:v>
                </c:pt>
                <c:pt idx="20">
                  <c:v>-0.1</c:v>
                </c:pt>
                <c:pt idx="21">
                  <c:v>-1.74</c:v>
                </c:pt>
                <c:pt idx="22">
                  <c:v>-8.33</c:v>
                </c:pt>
                <c:pt idx="23">
                  <c:v>-7.48</c:v>
                </c:pt>
                <c:pt idx="24">
                  <c:v>-2.31</c:v>
                </c:pt>
                <c:pt idx="25">
                  <c:v>0.16</c:v>
                </c:pt>
                <c:pt idx="26">
                  <c:v>-0.94</c:v>
                </c:pt>
                <c:pt idx="27">
                  <c:v>-3.29</c:v>
                </c:pt>
                <c:pt idx="28">
                  <c:v>-7.59</c:v>
                </c:pt>
                <c:pt idx="29">
                  <c:v>-10.17</c:v>
                </c:pt>
                <c:pt idx="30">
                  <c:v>-12.02</c:v>
                </c:pt>
                <c:pt idx="31">
                  <c:v>-8.93</c:v>
                </c:pt>
                <c:pt idx="32">
                  <c:v>-5.26</c:v>
                </c:pt>
                <c:pt idx="33">
                  <c:v>-4.28</c:v>
                </c:pt>
                <c:pt idx="34">
                  <c:v>0.48</c:v>
                </c:pt>
                <c:pt idx="35">
                  <c:v>3.98</c:v>
                </c:pt>
                <c:pt idx="36">
                  <c:v>7.35</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3.81</c:v>
                </c:pt>
                <c:pt idx="1">
                  <c:v>3.61</c:v>
                </c:pt>
                <c:pt idx="2">
                  <c:v>3.33</c:v>
                </c:pt>
                <c:pt idx="3">
                  <c:v>3.67</c:v>
                </c:pt>
                <c:pt idx="4">
                  <c:v>3.31</c:v>
                </c:pt>
                <c:pt idx="5">
                  <c:v>2.8</c:v>
                </c:pt>
                <c:pt idx="6">
                  <c:v>2.86</c:v>
                </c:pt>
                <c:pt idx="7">
                  <c:v>2.79</c:v>
                </c:pt>
                <c:pt idx="8">
                  <c:v>2.2999999999999998</c:v>
                </c:pt>
                <c:pt idx="9">
                  <c:v>2.3199999999999998</c:v>
                </c:pt>
                <c:pt idx="10">
                  <c:v>2.17</c:v>
                </c:pt>
                <c:pt idx="11">
                  <c:v>2.46</c:v>
                </c:pt>
                <c:pt idx="12">
                  <c:v>3</c:v>
                </c:pt>
                <c:pt idx="13">
                  <c:v>3.54</c:v>
                </c:pt>
                <c:pt idx="14">
                  <c:v>3.03</c:v>
                </c:pt>
                <c:pt idx="15">
                  <c:v>2.68</c:v>
                </c:pt>
                <c:pt idx="16">
                  <c:v>2.64</c:v>
                </c:pt>
                <c:pt idx="17">
                  <c:v>2.11</c:v>
                </c:pt>
                <c:pt idx="18">
                  <c:v>2.21</c:v>
                </c:pt>
                <c:pt idx="19">
                  <c:v>2.11</c:v>
                </c:pt>
                <c:pt idx="20">
                  <c:v>2.09</c:v>
                </c:pt>
                <c:pt idx="21">
                  <c:v>1.89</c:v>
                </c:pt>
                <c:pt idx="22">
                  <c:v>-0.6</c:v>
                </c:pt>
                <c:pt idx="23">
                  <c:v>-1.17</c:v>
                </c:pt>
                <c:pt idx="24">
                  <c:v>-1.61</c:v>
                </c:pt>
                <c:pt idx="25">
                  <c:v>-1.95</c:v>
                </c:pt>
                <c:pt idx="26">
                  <c:v>-2.31</c:v>
                </c:pt>
                <c:pt idx="27">
                  <c:v>-2.17</c:v>
                </c:pt>
                <c:pt idx="28">
                  <c:v>-2.33</c:v>
                </c:pt>
                <c:pt idx="29">
                  <c:v>-2.4</c:v>
                </c:pt>
                <c:pt idx="30">
                  <c:v>-2.69</c:v>
                </c:pt>
                <c:pt idx="31">
                  <c:v>-2.87</c:v>
                </c:pt>
                <c:pt idx="32">
                  <c:v>-2.62</c:v>
                </c:pt>
                <c:pt idx="33">
                  <c:v>-2.23</c:v>
                </c:pt>
                <c:pt idx="34">
                  <c:v>-1.36</c:v>
                </c:pt>
                <c:pt idx="35">
                  <c:v>0.4</c:v>
                </c:pt>
                <c:pt idx="36">
                  <c:v>1.1599999999999999</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3.91</c:v>
                </c:pt>
                <c:pt idx="1">
                  <c:v>4.01</c:v>
                </c:pt>
                <c:pt idx="2">
                  <c:v>3.52</c:v>
                </c:pt>
                <c:pt idx="3">
                  <c:v>3.99</c:v>
                </c:pt>
                <c:pt idx="4">
                  <c:v>3.57</c:v>
                </c:pt>
                <c:pt idx="5">
                  <c:v>3.48</c:v>
                </c:pt>
                <c:pt idx="6">
                  <c:v>3.34</c:v>
                </c:pt>
                <c:pt idx="7">
                  <c:v>3.19</c:v>
                </c:pt>
                <c:pt idx="8">
                  <c:v>3.06</c:v>
                </c:pt>
                <c:pt idx="9">
                  <c:v>3.16</c:v>
                </c:pt>
                <c:pt idx="10">
                  <c:v>2.91</c:v>
                </c:pt>
                <c:pt idx="11">
                  <c:v>2.84</c:v>
                </c:pt>
                <c:pt idx="12">
                  <c:v>3.76</c:v>
                </c:pt>
                <c:pt idx="13">
                  <c:v>4.25</c:v>
                </c:pt>
                <c:pt idx="14">
                  <c:v>3.87</c:v>
                </c:pt>
                <c:pt idx="15">
                  <c:v>3.28</c:v>
                </c:pt>
                <c:pt idx="16">
                  <c:v>3.42</c:v>
                </c:pt>
                <c:pt idx="17">
                  <c:v>3.07</c:v>
                </c:pt>
                <c:pt idx="18">
                  <c:v>2.84</c:v>
                </c:pt>
                <c:pt idx="19">
                  <c:v>2.5</c:v>
                </c:pt>
                <c:pt idx="20">
                  <c:v>2.4900000000000002</c:v>
                </c:pt>
                <c:pt idx="21">
                  <c:v>2.3199999999999998</c:v>
                </c:pt>
                <c:pt idx="22">
                  <c:v>0.3</c:v>
                </c:pt>
                <c:pt idx="23">
                  <c:v>0.22</c:v>
                </c:pt>
                <c:pt idx="24">
                  <c:v>-0.32</c:v>
                </c:pt>
                <c:pt idx="25">
                  <c:v>-0.31</c:v>
                </c:pt>
                <c:pt idx="26">
                  <c:v>-0.48</c:v>
                </c:pt>
                <c:pt idx="27">
                  <c:v>-0.23</c:v>
                </c:pt>
                <c:pt idx="28">
                  <c:v>-0.19</c:v>
                </c:pt>
                <c:pt idx="29">
                  <c:v>-0.38</c:v>
                </c:pt>
                <c:pt idx="30">
                  <c:v>-0.2</c:v>
                </c:pt>
                <c:pt idx="31">
                  <c:v>0</c:v>
                </c:pt>
                <c:pt idx="32">
                  <c:v>0</c:v>
                </c:pt>
                <c:pt idx="33">
                  <c:v>0.36</c:v>
                </c:pt>
                <c:pt idx="34">
                  <c:v>1.99</c:v>
                </c:pt>
                <c:pt idx="35">
                  <c:v>2.66</c:v>
                </c:pt>
                <c:pt idx="36">
                  <c:v>3.73</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2.29</c:v>
                </c:pt>
                <c:pt idx="1">
                  <c:v>2.48</c:v>
                </c:pt>
                <c:pt idx="2">
                  <c:v>2.0499999999999998</c:v>
                </c:pt>
                <c:pt idx="3">
                  <c:v>2.13</c:v>
                </c:pt>
                <c:pt idx="4">
                  <c:v>1.97</c:v>
                </c:pt>
                <c:pt idx="5">
                  <c:v>1.61</c:v>
                </c:pt>
                <c:pt idx="6">
                  <c:v>1.39</c:v>
                </c:pt>
                <c:pt idx="7">
                  <c:v>1.35</c:v>
                </c:pt>
                <c:pt idx="8">
                  <c:v>1.18</c:v>
                </c:pt>
                <c:pt idx="9">
                  <c:v>1.08</c:v>
                </c:pt>
                <c:pt idx="10">
                  <c:v>1.07</c:v>
                </c:pt>
                <c:pt idx="11">
                  <c:v>1.67</c:v>
                </c:pt>
                <c:pt idx="12">
                  <c:v>1.79</c:v>
                </c:pt>
                <c:pt idx="13">
                  <c:v>1.8</c:v>
                </c:pt>
                <c:pt idx="14">
                  <c:v>1.76</c:v>
                </c:pt>
                <c:pt idx="15">
                  <c:v>1.56</c:v>
                </c:pt>
                <c:pt idx="16">
                  <c:v>1.74</c:v>
                </c:pt>
                <c:pt idx="17">
                  <c:v>1.54</c:v>
                </c:pt>
                <c:pt idx="18">
                  <c:v>1.6</c:v>
                </c:pt>
                <c:pt idx="19">
                  <c:v>1.74</c:v>
                </c:pt>
                <c:pt idx="20">
                  <c:v>1.92</c:v>
                </c:pt>
                <c:pt idx="21">
                  <c:v>2</c:v>
                </c:pt>
                <c:pt idx="22">
                  <c:v>0.59</c:v>
                </c:pt>
                <c:pt idx="23">
                  <c:v>0.66</c:v>
                </c:pt>
                <c:pt idx="24">
                  <c:v>0.31</c:v>
                </c:pt>
                <c:pt idx="25">
                  <c:v>0.76</c:v>
                </c:pt>
                <c:pt idx="26">
                  <c:v>1.06</c:v>
                </c:pt>
                <c:pt idx="27">
                  <c:v>1.45</c:v>
                </c:pt>
                <c:pt idx="28">
                  <c:v>1.75</c:v>
                </c:pt>
                <c:pt idx="29">
                  <c:v>1.96</c:v>
                </c:pt>
                <c:pt idx="30">
                  <c:v>2.42</c:v>
                </c:pt>
                <c:pt idx="31">
                  <c:v>3.13</c:v>
                </c:pt>
                <c:pt idx="32">
                  <c:v>3.63</c:v>
                </c:pt>
                <c:pt idx="33">
                  <c:v>4.17</c:v>
                </c:pt>
                <c:pt idx="34">
                  <c:v>6.17</c:v>
                </c:pt>
                <c:pt idx="35">
                  <c:v>7.18</c:v>
                </c:pt>
                <c:pt idx="36">
                  <c:v>8.4600000000000009</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AOPChartSheet_chart4!$B$2:$B$38</c:f>
              <c:numCache>
                <c:formatCode>General</c:formatCode>
                <c:ptCount val="37"/>
                <c:pt idx="0">
                  <c:v>-6</c:v>
                </c:pt>
                <c:pt idx="1">
                  <c:v>-5.6</c:v>
                </c:pt>
                <c:pt idx="2">
                  <c:v>-5.3</c:v>
                </c:pt>
                <c:pt idx="3">
                  <c:v>-2.9</c:v>
                </c:pt>
                <c:pt idx="4">
                  <c:v>0</c:v>
                </c:pt>
                <c:pt idx="5">
                  <c:v>0</c:v>
                </c:pt>
                <c:pt idx="6">
                  <c:v>-0.9</c:v>
                </c:pt>
                <c:pt idx="7">
                  <c:v>51.7</c:v>
                </c:pt>
                <c:pt idx="8">
                  <c:v>39.799999999999997</c:v>
                </c:pt>
                <c:pt idx="9">
                  <c:v>15.5</c:v>
                </c:pt>
                <c:pt idx="10">
                  <c:v>6.9</c:v>
                </c:pt>
                <c:pt idx="11">
                  <c:v>-2.8</c:v>
                </c:pt>
                <c:pt idx="12">
                  <c:v>5.7</c:v>
                </c:pt>
                <c:pt idx="13">
                  <c:v>-14.7</c:v>
                </c:pt>
                <c:pt idx="14">
                  <c:v>-16.399999999999999</c:v>
                </c:pt>
                <c:pt idx="15">
                  <c:v>-15.5</c:v>
                </c:pt>
                <c:pt idx="16">
                  <c:v>-2.8</c:v>
                </c:pt>
                <c:pt idx="17">
                  <c:v>-5.7</c:v>
                </c:pt>
                <c:pt idx="18">
                  <c:v>-11.1</c:v>
                </c:pt>
                <c:pt idx="19">
                  <c:v>-15.5</c:v>
                </c:pt>
                <c:pt idx="20">
                  <c:v>-21.7</c:v>
                </c:pt>
                <c:pt idx="21">
                  <c:v>-20.399999999999999</c:v>
                </c:pt>
                <c:pt idx="22">
                  <c:v>-23</c:v>
                </c:pt>
                <c:pt idx="23">
                  <c:v>-22.1</c:v>
                </c:pt>
                <c:pt idx="24">
                  <c:v>-27.1</c:v>
                </c:pt>
                <c:pt idx="25">
                  <c:v>-27.2</c:v>
                </c:pt>
                <c:pt idx="26">
                  <c:v>-17.2</c:v>
                </c:pt>
                <c:pt idx="27">
                  <c:v>-22.4</c:v>
                </c:pt>
                <c:pt idx="28">
                  <c:v>-30.2</c:v>
                </c:pt>
                <c:pt idx="29">
                  <c:v>-28</c:v>
                </c:pt>
                <c:pt idx="30">
                  <c:v>-21.8</c:v>
                </c:pt>
                <c:pt idx="31">
                  <c:v>-16</c:v>
                </c:pt>
                <c:pt idx="32">
                  <c:v>-6.9</c:v>
                </c:pt>
                <c:pt idx="33">
                  <c:v>2.9</c:v>
                </c:pt>
                <c:pt idx="34">
                  <c:v>10.4</c:v>
                </c:pt>
                <c:pt idx="35">
                  <c:v>7.4</c:v>
                </c:pt>
                <c:pt idx="36">
                  <c:v>9</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AOPChartSheet_chart4!$C$2:$C$38</c:f>
              <c:numCache>
                <c:formatCode>General</c:formatCode>
                <c:ptCount val="37"/>
                <c:pt idx="0">
                  <c:v>-2.4</c:v>
                </c:pt>
                <c:pt idx="1">
                  <c:v>0</c:v>
                </c:pt>
                <c:pt idx="2">
                  <c:v>0</c:v>
                </c:pt>
                <c:pt idx="3">
                  <c:v>1.9</c:v>
                </c:pt>
                <c:pt idx="4">
                  <c:v>5.55</c:v>
                </c:pt>
                <c:pt idx="5">
                  <c:v>5.2</c:v>
                </c:pt>
                <c:pt idx="6">
                  <c:v>1.6</c:v>
                </c:pt>
                <c:pt idx="7">
                  <c:v>-5.5</c:v>
                </c:pt>
                <c:pt idx="8">
                  <c:v>-4.5999999999999996</c:v>
                </c:pt>
                <c:pt idx="9">
                  <c:v>-16.149999999999999</c:v>
                </c:pt>
                <c:pt idx="10">
                  <c:v>-17.2</c:v>
                </c:pt>
                <c:pt idx="11">
                  <c:v>-19.05</c:v>
                </c:pt>
                <c:pt idx="12">
                  <c:v>-5.9</c:v>
                </c:pt>
                <c:pt idx="13">
                  <c:v>-14.7</c:v>
                </c:pt>
                <c:pt idx="14">
                  <c:v>-12.4</c:v>
                </c:pt>
                <c:pt idx="15">
                  <c:v>-9.1999999999999993</c:v>
                </c:pt>
                <c:pt idx="16">
                  <c:v>7.55</c:v>
                </c:pt>
                <c:pt idx="17">
                  <c:v>12.05</c:v>
                </c:pt>
                <c:pt idx="18">
                  <c:v>12.95</c:v>
                </c:pt>
                <c:pt idx="19">
                  <c:v>15.4</c:v>
                </c:pt>
                <c:pt idx="20">
                  <c:v>2.6</c:v>
                </c:pt>
                <c:pt idx="21">
                  <c:v>1.9</c:v>
                </c:pt>
                <c:pt idx="22">
                  <c:v>0</c:v>
                </c:pt>
                <c:pt idx="23">
                  <c:v>0</c:v>
                </c:pt>
                <c:pt idx="24">
                  <c:v>-3.4</c:v>
                </c:pt>
                <c:pt idx="25">
                  <c:v>-6.35</c:v>
                </c:pt>
                <c:pt idx="26">
                  <c:v>2.75</c:v>
                </c:pt>
                <c:pt idx="27">
                  <c:v>-1.5</c:v>
                </c:pt>
                <c:pt idx="28">
                  <c:v>-6.9</c:v>
                </c:pt>
                <c:pt idx="29">
                  <c:v>-6.9</c:v>
                </c:pt>
                <c:pt idx="30">
                  <c:v>-4.4000000000000004</c:v>
                </c:pt>
                <c:pt idx="31">
                  <c:v>-0.3</c:v>
                </c:pt>
                <c:pt idx="32">
                  <c:v>4.05</c:v>
                </c:pt>
                <c:pt idx="33">
                  <c:v>11.65</c:v>
                </c:pt>
                <c:pt idx="34">
                  <c:v>7.3</c:v>
                </c:pt>
                <c:pt idx="35">
                  <c:v>-3</c:v>
                </c:pt>
                <c:pt idx="36">
                  <c:v>-12.95</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AOPChartSheet_chart4!$D$2:$D$38</c:f>
              <c:numCache>
                <c:formatCode>General</c:formatCode>
                <c:ptCount val="37"/>
                <c:pt idx="0">
                  <c:v>-2.2000000000000002</c:v>
                </c:pt>
                <c:pt idx="1">
                  <c:v>0</c:v>
                </c:pt>
                <c:pt idx="2">
                  <c:v>0</c:v>
                </c:pt>
                <c:pt idx="3">
                  <c:v>1.4</c:v>
                </c:pt>
                <c:pt idx="4">
                  <c:v>5.4</c:v>
                </c:pt>
                <c:pt idx="5">
                  <c:v>5.0999999999999996</c:v>
                </c:pt>
                <c:pt idx="6">
                  <c:v>0.9</c:v>
                </c:pt>
                <c:pt idx="7">
                  <c:v>-5</c:v>
                </c:pt>
                <c:pt idx="8">
                  <c:v>-4.7</c:v>
                </c:pt>
                <c:pt idx="9">
                  <c:v>-15.4</c:v>
                </c:pt>
                <c:pt idx="10">
                  <c:v>-16.7</c:v>
                </c:pt>
                <c:pt idx="11">
                  <c:v>-17.600000000000001</c:v>
                </c:pt>
                <c:pt idx="12">
                  <c:v>-5</c:v>
                </c:pt>
                <c:pt idx="13">
                  <c:v>-14.5</c:v>
                </c:pt>
                <c:pt idx="14">
                  <c:v>-12.4</c:v>
                </c:pt>
                <c:pt idx="15">
                  <c:v>-9.3000000000000007</c:v>
                </c:pt>
                <c:pt idx="16">
                  <c:v>3.7</c:v>
                </c:pt>
                <c:pt idx="17">
                  <c:v>6.6</c:v>
                </c:pt>
                <c:pt idx="18">
                  <c:v>7.55</c:v>
                </c:pt>
                <c:pt idx="19">
                  <c:v>9.9</c:v>
                </c:pt>
                <c:pt idx="20">
                  <c:v>0</c:v>
                </c:pt>
                <c:pt idx="21">
                  <c:v>0</c:v>
                </c:pt>
                <c:pt idx="22">
                  <c:v>0</c:v>
                </c:pt>
                <c:pt idx="23">
                  <c:v>0</c:v>
                </c:pt>
                <c:pt idx="24">
                  <c:v>-2.6</c:v>
                </c:pt>
                <c:pt idx="25">
                  <c:v>-3.85</c:v>
                </c:pt>
                <c:pt idx="26">
                  <c:v>5.6</c:v>
                </c:pt>
                <c:pt idx="27">
                  <c:v>2.35</c:v>
                </c:pt>
                <c:pt idx="28">
                  <c:v>0</c:v>
                </c:pt>
                <c:pt idx="29">
                  <c:v>0</c:v>
                </c:pt>
                <c:pt idx="30">
                  <c:v>2.1</c:v>
                </c:pt>
                <c:pt idx="31">
                  <c:v>5.6</c:v>
                </c:pt>
                <c:pt idx="32">
                  <c:v>10.85</c:v>
                </c:pt>
                <c:pt idx="33">
                  <c:v>16.649999999999999</c:v>
                </c:pt>
                <c:pt idx="34">
                  <c:v>10.6</c:v>
                </c:pt>
                <c:pt idx="35">
                  <c:v>-0.5</c:v>
                </c:pt>
                <c:pt idx="36">
                  <c:v>-12.7</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AOPChartSheet_chart4!$A$2:$A$38</c:f>
              <c:strCache>
                <c:ptCount val="37"/>
                <c:pt idx="0">
                  <c:v>2018-10</c:v>
                </c:pt>
                <c:pt idx="1">
                  <c:v>2018-11</c:v>
                </c:pt>
                <c:pt idx="2">
                  <c:v>2018-12</c:v>
                </c:pt>
                <c:pt idx="3">
                  <c:v>2019-01</c:v>
                </c:pt>
                <c:pt idx="4">
                  <c:v>2019-02</c:v>
                </c:pt>
                <c:pt idx="5">
                  <c:v>2019-03</c:v>
                </c:pt>
                <c:pt idx="6">
                  <c:v>2019-04</c:v>
                </c:pt>
                <c:pt idx="7">
                  <c:v>2019-05</c:v>
                </c:pt>
                <c:pt idx="8">
                  <c:v>2019-06</c:v>
                </c:pt>
                <c:pt idx="9">
                  <c:v>2019-07</c:v>
                </c:pt>
                <c:pt idx="10">
                  <c:v>2019-08</c:v>
                </c:pt>
                <c:pt idx="11">
                  <c:v>2019-09</c:v>
                </c:pt>
                <c:pt idx="12">
                  <c:v>2019-10</c:v>
                </c:pt>
                <c:pt idx="13">
                  <c:v>2019-11</c:v>
                </c:pt>
                <c:pt idx="14">
                  <c:v>2019-12</c:v>
                </c:pt>
                <c:pt idx="15">
                  <c:v>2020-01</c:v>
                </c:pt>
                <c:pt idx="16">
                  <c:v>2020-02</c:v>
                </c:pt>
                <c:pt idx="17">
                  <c:v>2020-03</c:v>
                </c:pt>
                <c:pt idx="18">
                  <c:v>2020-04</c:v>
                </c:pt>
                <c:pt idx="19">
                  <c:v>2020-05</c:v>
                </c:pt>
                <c:pt idx="20">
                  <c:v>2020-06</c:v>
                </c:pt>
                <c:pt idx="21">
                  <c:v>2020-07</c:v>
                </c:pt>
                <c:pt idx="22">
                  <c:v>2020-08</c:v>
                </c:pt>
                <c:pt idx="23">
                  <c:v>2020-09</c:v>
                </c:pt>
                <c:pt idx="24">
                  <c:v>2020-10</c:v>
                </c:pt>
                <c:pt idx="25">
                  <c:v>2020-11</c:v>
                </c:pt>
                <c:pt idx="26">
                  <c:v>2020-12</c:v>
                </c:pt>
                <c:pt idx="27">
                  <c:v>2021-01</c:v>
                </c:pt>
                <c:pt idx="28">
                  <c:v>2021-02</c:v>
                </c:pt>
                <c:pt idx="29">
                  <c:v>2021-03</c:v>
                </c:pt>
                <c:pt idx="30">
                  <c:v>2021-04</c:v>
                </c:pt>
                <c:pt idx="31">
                  <c:v>2021-05</c:v>
                </c:pt>
                <c:pt idx="32">
                  <c:v>2021-06</c:v>
                </c:pt>
                <c:pt idx="33">
                  <c:v>2021-07</c:v>
                </c:pt>
                <c:pt idx="34">
                  <c:v>2021-08</c:v>
                </c:pt>
                <c:pt idx="35">
                  <c:v>2021-09</c:v>
                </c:pt>
                <c:pt idx="36">
                  <c:v>2021-10</c:v>
                </c:pt>
              </c:strCache>
            </c:strRef>
          </c:cat>
          <c:val>
            <c:numRef>
              <c:f>AOPChartSheet_chart4!$E$2:$E$38</c:f>
              <c:numCache>
                <c:formatCode>General</c:formatCode>
                <c:ptCount val="37"/>
                <c:pt idx="0">
                  <c:v>-5.0999999999999996</c:v>
                </c:pt>
                <c:pt idx="1">
                  <c:v>-5.4</c:v>
                </c:pt>
                <c:pt idx="2">
                  <c:v>-5.6</c:v>
                </c:pt>
                <c:pt idx="3">
                  <c:v>-2</c:v>
                </c:pt>
                <c:pt idx="4">
                  <c:v>0</c:v>
                </c:pt>
                <c:pt idx="5">
                  <c:v>0</c:v>
                </c:pt>
                <c:pt idx="6">
                  <c:v>-1.7</c:v>
                </c:pt>
                <c:pt idx="7">
                  <c:v>7.1</c:v>
                </c:pt>
                <c:pt idx="8">
                  <c:v>6.2</c:v>
                </c:pt>
                <c:pt idx="9">
                  <c:v>-0.6</c:v>
                </c:pt>
                <c:pt idx="10">
                  <c:v>-5.9</c:v>
                </c:pt>
                <c:pt idx="11">
                  <c:v>-12.2</c:v>
                </c:pt>
                <c:pt idx="12">
                  <c:v>-3.5</c:v>
                </c:pt>
                <c:pt idx="13">
                  <c:v>-12.5</c:v>
                </c:pt>
                <c:pt idx="14">
                  <c:v>-11.1</c:v>
                </c:pt>
                <c:pt idx="15">
                  <c:v>-10.3</c:v>
                </c:pt>
                <c:pt idx="16">
                  <c:v>0</c:v>
                </c:pt>
                <c:pt idx="17">
                  <c:v>2.6</c:v>
                </c:pt>
                <c:pt idx="18">
                  <c:v>2.2000000000000002</c:v>
                </c:pt>
                <c:pt idx="19">
                  <c:v>3.3</c:v>
                </c:pt>
                <c:pt idx="20">
                  <c:v>-1</c:v>
                </c:pt>
                <c:pt idx="21">
                  <c:v>0</c:v>
                </c:pt>
                <c:pt idx="22">
                  <c:v>-1.7</c:v>
                </c:pt>
                <c:pt idx="23">
                  <c:v>0</c:v>
                </c:pt>
                <c:pt idx="24">
                  <c:v>-1.6</c:v>
                </c:pt>
                <c:pt idx="25">
                  <c:v>-0.5</c:v>
                </c:pt>
                <c:pt idx="26">
                  <c:v>9.1</c:v>
                </c:pt>
                <c:pt idx="27">
                  <c:v>10.55</c:v>
                </c:pt>
                <c:pt idx="28">
                  <c:v>9.5</c:v>
                </c:pt>
                <c:pt idx="29">
                  <c:v>11.1</c:v>
                </c:pt>
                <c:pt idx="30">
                  <c:v>12.5</c:v>
                </c:pt>
                <c:pt idx="31">
                  <c:v>13.8</c:v>
                </c:pt>
                <c:pt idx="32">
                  <c:v>16.7</c:v>
                </c:pt>
                <c:pt idx="33">
                  <c:v>22.3</c:v>
                </c:pt>
                <c:pt idx="34">
                  <c:v>13.3</c:v>
                </c:pt>
                <c:pt idx="35">
                  <c:v>0</c:v>
                </c:pt>
                <c:pt idx="36">
                  <c:v>-13.75</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AOPChartSheet_chart4!$A$2:$A$36</c:f>
              <c:strCache>
                <c:ptCount val="35"/>
                <c:pt idx="0">
                  <c:v>2018-10</c:v>
                </c:pt>
                <c:pt idx="1">
                  <c:v>2018-11</c:v>
                </c:pt>
                <c:pt idx="2">
                  <c:v>2018-12</c:v>
                </c:pt>
                <c:pt idx="3">
                  <c:v>2019-03</c:v>
                </c:pt>
                <c:pt idx="4">
                  <c:v>2019-04</c:v>
                </c:pt>
                <c:pt idx="5">
                  <c:v>2019-05</c:v>
                </c:pt>
                <c:pt idx="6">
                  <c:v>2019-06</c:v>
                </c:pt>
                <c:pt idx="7">
                  <c:v>2019-07</c:v>
                </c:pt>
                <c:pt idx="8">
                  <c:v>2019-08</c:v>
                </c:pt>
                <c:pt idx="9">
                  <c:v>2019-09</c:v>
                </c:pt>
                <c:pt idx="10">
                  <c:v>2019-10</c:v>
                </c:pt>
                <c:pt idx="11">
                  <c:v>2019-11</c:v>
                </c:pt>
                <c:pt idx="12">
                  <c:v>2019-12</c:v>
                </c:pt>
                <c:pt idx="13">
                  <c:v>2020-01</c:v>
                </c:pt>
                <c:pt idx="14">
                  <c:v>2020-02</c:v>
                </c:pt>
                <c:pt idx="15">
                  <c:v>2020-03</c:v>
                </c:pt>
                <c:pt idx="16">
                  <c:v>2020-04</c:v>
                </c:pt>
                <c:pt idx="17">
                  <c:v>2020-05</c:v>
                </c:pt>
                <c:pt idx="18">
                  <c:v>2020-06</c:v>
                </c:pt>
                <c:pt idx="19">
                  <c:v>2020-07</c:v>
                </c:pt>
                <c:pt idx="20">
                  <c:v>2020-08</c:v>
                </c:pt>
                <c:pt idx="21">
                  <c:v>2020-09</c:v>
                </c:pt>
                <c:pt idx="22">
                  <c:v>2020-10</c:v>
                </c:pt>
                <c:pt idx="23">
                  <c:v>2020-11</c:v>
                </c:pt>
                <c:pt idx="24">
                  <c:v>2020-12</c:v>
                </c:pt>
                <c:pt idx="25">
                  <c:v>2021-01</c:v>
                </c:pt>
                <c:pt idx="26">
                  <c:v>2021-02</c:v>
                </c:pt>
                <c:pt idx="27">
                  <c:v>2021-03</c:v>
                </c:pt>
                <c:pt idx="28">
                  <c:v>2021-04</c:v>
                </c:pt>
                <c:pt idx="29">
                  <c:v>2021-05</c:v>
                </c:pt>
                <c:pt idx="30">
                  <c:v>2021-06</c:v>
                </c:pt>
                <c:pt idx="31">
                  <c:v>2021-07</c:v>
                </c:pt>
                <c:pt idx="32">
                  <c:v>2021-08</c:v>
                </c:pt>
                <c:pt idx="33">
                  <c:v>2021-09</c:v>
                </c:pt>
                <c:pt idx="34">
                  <c:v>2021-10</c:v>
                </c:pt>
              </c:strCache>
            </c:strRef>
          </c:cat>
          <c:val>
            <c:numRef>
              <c:f>AOPChartSheet_chart4!$B$2:$B$36</c:f>
              <c:numCache>
                <c:formatCode>General</c:formatCode>
                <c:ptCount val="35"/>
                <c:pt idx="0">
                  <c:v>25</c:v>
                </c:pt>
                <c:pt idx="1">
                  <c:v>37.5</c:v>
                </c:pt>
                <c:pt idx="2">
                  <c:v>0</c:v>
                </c:pt>
                <c:pt idx="3">
                  <c:v>100</c:v>
                </c:pt>
                <c:pt idx="4">
                  <c:v>100</c:v>
                </c:pt>
                <c:pt idx="5">
                  <c:v>25</c:v>
                </c:pt>
                <c:pt idx="6">
                  <c:v>100</c:v>
                </c:pt>
                <c:pt idx="7">
                  <c:v>75</c:v>
                </c:pt>
                <c:pt idx="8">
                  <c:v>71.400000000000006</c:v>
                </c:pt>
                <c:pt idx="9">
                  <c:v>54.5</c:v>
                </c:pt>
                <c:pt idx="10">
                  <c:v>61.5</c:v>
                </c:pt>
                <c:pt idx="11">
                  <c:v>64.3</c:v>
                </c:pt>
                <c:pt idx="12">
                  <c:v>81.8</c:v>
                </c:pt>
                <c:pt idx="13">
                  <c:v>87.5</c:v>
                </c:pt>
                <c:pt idx="14">
                  <c:v>80</c:v>
                </c:pt>
                <c:pt idx="15">
                  <c:v>77.8</c:v>
                </c:pt>
                <c:pt idx="16">
                  <c:v>77.8</c:v>
                </c:pt>
                <c:pt idx="17">
                  <c:v>60</c:v>
                </c:pt>
                <c:pt idx="18">
                  <c:v>37.5</c:v>
                </c:pt>
                <c:pt idx="19">
                  <c:v>30</c:v>
                </c:pt>
                <c:pt idx="20">
                  <c:v>30</c:v>
                </c:pt>
                <c:pt idx="21">
                  <c:v>0</c:v>
                </c:pt>
                <c:pt idx="22">
                  <c:v>33.299999999999997</c:v>
                </c:pt>
                <c:pt idx="23">
                  <c:v>66.7</c:v>
                </c:pt>
                <c:pt idx="24">
                  <c:v>75</c:v>
                </c:pt>
                <c:pt idx="25">
                  <c:v>70</c:v>
                </c:pt>
                <c:pt idx="26">
                  <c:v>58.3</c:v>
                </c:pt>
                <c:pt idx="27">
                  <c:v>54.5</c:v>
                </c:pt>
                <c:pt idx="28">
                  <c:v>62.5</c:v>
                </c:pt>
                <c:pt idx="29">
                  <c:v>84</c:v>
                </c:pt>
                <c:pt idx="30">
                  <c:v>76</c:v>
                </c:pt>
                <c:pt idx="31">
                  <c:v>65.5</c:v>
                </c:pt>
                <c:pt idx="32">
                  <c:v>38.9</c:v>
                </c:pt>
                <c:pt idx="33">
                  <c:v>38.5</c:v>
                </c:pt>
                <c:pt idx="34">
                  <c:v>54.5</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AOPChartSheet_chart4!$A$2:$A$36</c:f>
              <c:strCache>
                <c:ptCount val="35"/>
                <c:pt idx="0">
                  <c:v>2018-10</c:v>
                </c:pt>
                <c:pt idx="1">
                  <c:v>2018-11</c:v>
                </c:pt>
                <c:pt idx="2">
                  <c:v>2018-12</c:v>
                </c:pt>
                <c:pt idx="3">
                  <c:v>2019-03</c:v>
                </c:pt>
                <c:pt idx="4">
                  <c:v>2019-04</c:v>
                </c:pt>
                <c:pt idx="5">
                  <c:v>2019-05</c:v>
                </c:pt>
                <c:pt idx="6">
                  <c:v>2019-06</c:v>
                </c:pt>
                <c:pt idx="7">
                  <c:v>2019-07</c:v>
                </c:pt>
                <c:pt idx="8">
                  <c:v>2019-08</c:v>
                </c:pt>
                <c:pt idx="9">
                  <c:v>2019-09</c:v>
                </c:pt>
                <c:pt idx="10">
                  <c:v>2019-10</c:v>
                </c:pt>
                <c:pt idx="11">
                  <c:v>2019-11</c:v>
                </c:pt>
                <c:pt idx="12">
                  <c:v>2019-12</c:v>
                </c:pt>
                <c:pt idx="13">
                  <c:v>2020-01</c:v>
                </c:pt>
                <c:pt idx="14">
                  <c:v>2020-02</c:v>
                </c:pt>
                <c:pt idx="15">
                  <c:v>2020-03</c:v>
                </c:pt>
                <c:pt idx="16">
                  <c:v>2020-04</c:v>
                </c:pt>
                <c:pt idx="17">
                  <c:v>2020-05</c:v>
                </c:pt>
                <c:pt idx="18">
                  <c:v>2020-06</c:v>
                </c:pt>
                <c:pt idx="19">
                  <c:v>2020-07</c:v>
                </c:pt>
                <c:pt idx="20">
                  <c:v>2020-08</c:v>
                </c:pt>
                <c:pt idx="21">
                  <c:v>2020-09</c:v>
                </c:pt>
                <c:pt idx="22">
                  <c:v>2020-10</c:v>
                </c:pt>
                <c:pt idx="23">
                  <c:v>2020-11</c:v>
                </c:pt>
                <c:pt idx="24">
                  <c:v>2020-12</c:v>
                </c:pt>
                <c:pt idx="25">
                  <c:v>2021-01</c:v>
                </c:pt>
                <c:pt idx="26">
                  <c:v>2021-02</c:v>
                </c:pt>
                <c:pt idx="27">
                  <c:v>2021-03</c:v>
                </c:pt>
                <c:pt idx="28">
                  <c:v>2021-04</c:v>
                </c:pt>
                <c:pt idx="29">
                  <c:v>2021-05</c:v>
                </c:pt>
                <c:pt idx="30">
                  <c:v>2021-06</c:v>
                </c:pt>
                <c:pt idx="31">
                  <c:v>2021-07</c:v>
                </c:pt>
                <c:pt idx="32">
                  <c:v>2021-08</c:v>
                </c:pt>
                <c:pt idx="33">
                  <c:v>2021-09</c:v>
                </c:pt>
                <c:pt idx="34">
                  <c:v>2021-10</c:v>
                </c:pt>
              </c:strCache>
            </c:strRef>
          </c:cat>
          <c:val>
            <c:numRef>
              <c:f>AOPChartSheet_chart4!$C$2:$C$38</c:f>
              <c:numCache>
                <c:formatCode>General</c:formatCode>
                <c:ptCount val="37"/>
                <c:pt idx="0">
                  <c:v>33.299999999999997</c:v>
                </c:pt>
                <c:pt idx="1">
                  <c:v>15.4</c:v>
                </c:pt>
                <c:pt idx="2">
                  <c:v>0</c:v>
                </c:pt>
                <c:pt idx="3">
                  <c:v>0</c:v>
                </c:pt>
                <c:pt idx="4">
                  <c:v>0</c:v>
                </c:pt>
                <c:pt idx="5">
                  <c:v>0</c:v>
                </c:pt>
                <c:pt idx="6">
                  <c:v>0</c:v>
                </c:pt>
                <c:pt idx="7">
                  <c:v>0</c:v>
                </c:pt>
                <c:pt idx="8">
                  <c:v>42.9</c:v>
                </c:pt>
                <c:pt idx="9">
                  <c:v>36.4</c:v>
                </c:pt>
                <c:pt idx="10">
                  <c:v>37.5</c:v>
                </c:pt>
                <c:pt idx="11">
                  <c:v>44.4</c:v>
                </c:pt>
                <c:pt idx="12">
                  <c:v>50</c:v>
                </c:pt>
                <c:pt idx="13">
                  <c:v>55.7</c:v>
                </c:pt>
                <c:pt idx="14">
                  <c:v>57.1</c:v>
                </c:pt>
                <c:pt idx="15">
                  <c:v>43.2</c:v>
                </c:pt>
                <c:pt idx="16">
                  <c:v>50</c:v>
                </c:pt>
                <c:pt idx="17">
                  <c:v>50</c:v>
                </c:pt>
                <c:pt idx="18">
                  <c:v>50</c:v>
                </c:pt>
                <c:pt idx="19">
                  <c:v>36.4</c:v>
                </c:pt>
                <c:pt idx="20">
                  <c:v>20</c:v>
                </c:pt>
                <c:pt idx="21">
                  <c:v>22.1</c:v>
                </c:pt>
                <c:pt idx="22">
                  <c:v>23.8</c:v>
                </c:pt>
                <c:pt idx="23">
                  <c:v>15.4</c:v>
                </c:pt>
                <c:pt idx="24">
                  <c:v>13</c:v>
                </c:pt>
                <c:pt idx="25">
                  <c:v>23.8</c:v>
                </c:pt>
                <c:pt idx="26">
                  <c:v>34.9</c:v>
                </c:pt>
                <c:pt idx="27">
                  <c:v>30.4</c:v>
                </c:pt>
                <c:pt idx="28">
                  <c:v>38.200000000000003</c:v>
                </c:pt>
                <c:pt idx="29">
                  <c:v>42.9</c:v>
                </c:pt>
                <c:pt idx="30">
                  <c:v>50</c:v>
                </c:pt>
                <c:pt idx="31">
                  <c:v>53.1</c:v>
                </c:pt>
                <c:pt idx="32">
                  <c:v>53.3</c:v>
                </c:pt>
                <c:pt idx="33">
                  <c:v>54.2</c:v>
                </c:pt>
                <c:pt idx="34">
                  <c:v>50</c:v>
                </c:pt>
                <c:pt idx="35">
                  <c:v>45.2</c:v>
                </c:pt>
                <c:pt idx="36">
                  <c:v>45.9</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AOPChartSheet_chart4!$A$2:$A$36</c:f>
              <c:strCache>
                <c:ptCount val="35"/>
                <c:pt idx="0">
                  <c:v>2018-10</c:v>
                </c:pt>
                <c:pt idx="1">
                  <c:v>2018-11</c:v>
                </c:pt>
                <c:pt idx="2">
                  <c:v>2018-12</c:v>
                </c:pt>
                <c:pt idx="3">
                  <c:v>2019-03</c:v>
                </c:pt>
                <c:pt idx="4">
                  <c:v>2019-04</c:v>
                </c:pt>
                <c:pt idx="5">
                  <c:v>2019-05</c:v>
                </c:pt>
                <c:pt idx="6">
                  <c:v>2019-06</c:v>
                </c:pt>
                <c:pt idx="7">
                  <c:v>2019-07</c:v>
                </c:pt>
                <c:pt idx="8">
                  <c:v>2019-08</c:v>
                </c:pt>
                <c:pt idx="9">
                  <c:v>2019-09</c:v>
                </c:pt>
                <c:pt idx="10">
                  <c:v>2019-10</c:v>
                </c:pt>
                <c:pt idx="11">
                  <c:v>2019-11</c:v>
                </c:pt>
                <c:pt idx="12">
                  <c:v>2019-12</c:v>
                </c:pt>
                <c:pt idx="13">
                  <c:v>2020-01</c:v>
                </c:pt>
                <c:pt idx="14">
                  <c:v>2020-02</c:v>
                </c:pt>
                <c:pt idx="15">
                  <c:v>2020-03</c:v>
                </c:pt>
                <c:pt idx="16">
                  <c:v>2020-04</c:v>
                </c:pt>
                <c:pt idx="17">
                  <c:v>2020-05</c:v>
                </c:pt>
                <c:pt idx="18">
                  <c:v>2020-06</c:v>
                </c:pt>
                <c:pt idx="19">
                  <c:v>2020-07</c:v>
                </c:pt>
                <c:pt idx="20">
                  <c:v>2020-08</c:v>
                </c:pt>
                <c:pt idx="21">
                  <c:v>2020-09</c:v>
                </c:pt>
                <c:pt idx="22">
                  <c:v>2020-10</c:v>
                </c:pt>
                <c:pt idx="23">
                  <c:v>2020-11</c:v>
                </c:pt>
                <c:pt idx="24">
                  <c:v>2020-12</c:v>
                </c:pt>
                <c:pt idx="25">
                  <c:v>2021-01</c:v>
                </c:pt>
                <c:pt idx="26">
                  <c:v>2021-02</c:v>
                </c:pt>
                <c:pt idx="27">
                  <c:v>2021-03</c:v>
                </c:pt>
                <c:pt idx="28">
                  <c:v>2021-04</c:v>
                </c:pt>
                <c:pt idx="29">
                  <c:v>2021-05</c:v>
                </c:pt>
                <c:pt idx="30">
                  <c:v>2021-06</c:v>
                </c:pt>
                <c:pt idx="31">
                  <c:v>2021-07</c:v>
                </c:pt>
                <c:pt idx="32">
                  <c:v>2021-08</c:v>
                </c:pt>
                <c:pt idx="33">
                  <c:v>2021-09</c:v>
                </c:pt>
                <c:pt idx="34">
                  <c:v>2021-10</c:v>
                </c:pt>
              </c:strCache>
            </c:strRef>
          </c:cat>
          <c:val>
            <c:numRef>
              <c:f>AOPChartSheet_chart4!$D$2:$D$38</c:f>
              <c:numCache>
                <c:formatCode>General</c:formatCode>
                <c:ptCount val="37"/>
                <c:pt idx="0">
                  <c:v>8.3000000000000007</c:v>
                </c:pt>
                <c:pt idx="1">
                  <c:v>0</c:v>
                </c:pt>
                <c:pt idx="2">
                  <c:v>0</c:v>
                </c:pt>
                <c:pt idx="3">
                  <c:v>0</c:v>
                </c:pt>
                <c:pt idx="4">
                  <c:v>0</c:v>
                </c:pt>
                <c:pt idx="5">
                  <c:v>0</c:v>
                </c:pt>
                <c:pt idx="6">
                  <c:v>0</c:v>
                </c:pt>
                <c:pt idx="7">
                  <c:v>0</c:v>
                </c:pt>
                <c:pt idx="8">
                  <c:v>15.4</c:v>
                </c:pt>
                <c:pt idx="9">
                  <c:v>7.5</c:v>
                </c:pt>
                <c:pt idx="10">
                  <c:v>6.7</c:v>
                </c:pt>
                <c:pt idx="11">
                  <c:v>11.1</c:v>
                </c:pt>
                <c:pt idx="12">
                  <c:v>13.8</c:v>
                </c:pt>
                <c:pt idx="13">
                  <c:v>14.3</c:v>
                </c:pt>
                <c:pt idx="14">
                  <c:v>15.7</c:v>
                </c:pt>
                <c:pt idx="15">
                  <c:v>6.1</c:v>
                </c:pt>
                <c:pt idx="16">
                  <c:v>12.7</c:v>
                </c:pt>
                <c:pt idx="17">
                  <c:v>10</c:v>
                </c:pt>
                <c:pt idx="18">
                  <c:v>13.6</c:v>
                </c:pt>
                <c:pt idx="19">
                  <c:v>7</c:v>
                </c:pt>
                <c:pt idx="20">
                  <c:v>0</c:v>
                </c:pt>
                <c:pt idx="21">
                  <c:v>0</c:v>
                </c:pt>
                <c:pt idx="22">
                  <c:v>0</c:v>
                </c:pt>
                <c:pt idx="23">
                  <c:v>0</c:v>
                </c:pt>
                <c:pt idx="24">
                  <c:v>0</c:v>
                </c:pt>
                <c:pt idx="25">
                  <c:v>0</c:v>
                </c:pt>
                <c:pt idx="26">
                  <c:v>0</c:v>
                </c:pt>
                <c:pt idx="27">
                  <c:v>1.3</c:v>
                </c:pt>
                <c:pt idx="28">
                  <c:v>6.7</c:v>
                </c:pt>
                <c:pt idx="29">
                  <c:v>8.3000000000000007</c:v>
                </c:pt>
                <c:pt idx="30">
                  <c:v>10.5</c:v>
                </c:pt>
                <c:pt idx="31">
                  <c:v>15.2</c:v>
                </c:pt>
                <c:pt idx="32">
                  <c:v>14.3</c:v>
                </c:pt>
                <c:pt idx="33">
                  <c:v>21.4</c:v>
                </c:pt>
                <c:pt idx="34">
                  <c:v>21.1</c:v>
                </c:pt>
                <c:pt idx="35">
                  <c:v>18.7</c:v>
                </c:pt>
                <c:pt idx="36">
                  <c:v>18.2</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AOPChartSheet_chart4!$A$2:$A$36</c:f>
              <c:strCache>
                <c:ptCount val="35"/>
                <c:pt idx="0">
                  <c:v>2018-10</c:v>
                </c:pt>
                <c:pt idx="1">
                  <c:v>2018-11</c:v>
                </c:pt>
                <c:pt idx="2">
                  <c:v>2018-12</c:v>
                </c:pt>
                <c:pt idx="3">
                  <c:v>2019-03</c:v>
                </c:pt>
                <c:pt idx="4">
                  <c:v>2019-04</c:v>
                </c:pt>
                <c:pt idx="5">
                  <c:v>2019-05</c:v>
                </c:pt>
                <c:pt idx="6">
                  <c:v>2019-06</c:v>
                </c:pt>
                <c:pt idx="7">
                  <c:v>2019-07</c:v>
                </c:pt>
                <c:pt idx="8">
                  <c:v>2019-08</c:v>
                </c:pt>
                <c:pt idx="9">
                  <c:v>2019-09</c:v>
                </c:pt>
                <c:pt idx="10">
                  <c:v>2019-10</c:v>
                </c:pt>
                <c:pt idx="11">
                  <c:v>2019-11</c:v>
                </c:pt>
                <c:pt idx="12">
                  <c:v>2019-12</c:v>
                </c:pt>
                <c:pt idx="13">
                  <c:v>2020-01</c:v>
                </c:pt>
                <c:pt idx="14">
                  <c:v>2020-02</c:v>
                </c:pt>
                <c:pt idx="15">
                  <c:v>2020-03</c:v>
                </c:pt>
                <c:pt idx="16">
                  <c:v>2020-04</c:v>
                </c:pt>
                <c:pt idx="17">
                  <c:v>2020-05</c:v>
                </c:pt>
                <c:pt idx="18">
                  <c:v>2020-06</c:v>
                </c:pt>
                <c:pt idx="19">
                  <c:v>2020-07</c:v>
                </c:pt>
                <c:pt idx="20">
                  <c:v>2020-08</c:v>
                </c:pt>
                <c:pt idx="21">
                  <c:v>2020-09</c:v>
                </c:pt>
                <c:pt idx="22">
                  <c:v>2020-10</c:v>
                </c:pt>
                <c:pt idx="23">
                  <c:v>2020-11</c:v>
                </c:pt>
                <c:pt idx="24">
                  <c:v>2020-12</c:v>
                </c:pt>
                <c:pt idx="25">
                  <c:v>2021-01</c:v>
                </c:pt>
                <c:pt idx="26">
                  <c:v>2021-02</c:v>
                </c:pt>
                <c:pt idx="27">
                  <c:v>2021-03</c:v>
                </c:pt>
                <c:pt idx="28">
                  <c:v>2021-04</c:v>
                </c:pt>
                <c:pt idx="29">
                  <c:v>2021-05</c:v>
                </c:pt>
                <c:pt idx="30">
                  <c:v>2021-06</c:v>
                </c:pt>
                <c:pt idx="31">
                  <c:v>2021-07</c:v>
                </c:pt>
                <c:pt idx="32">
                  <c:v>2021-08</c:v>
                </c:pt>
                <c:pt idx="33">
                  <c:v>2021-09</c:v>
                </c:pt>
                <c:pt idx="34">
                  <c:v>2021-10</c:v>
                </c:pt>
              </c:strCache>
            </c:strRef>
          </c:cat>
          <c:val>
            <c:numRef>
              <c:f>AOPChartSheet_chart4!$E$2:$E$38</c:f>
              <c:numCache>
                <c:formatCode>General</c:formatCode>
                <c:ptCount val="3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2.6</c:v>
                </c:pt>
                <c:pt idx="33">
                  <c:v>4.5999999999999996</c:v>
                </c:pt>
                <c:pt idx="34">
                  <c:v>4.5</c:v>
                </c:pt>
                <c:pt idx="35">
                  <c:v>4</c:v>
                </c:pt>
                <c:pt idx="36">
                  <c:v>5.6</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093098656785546E-2"/>
          <c:y val="4.0740740740740744E-2"/>
          <c:w val="0.90761772425505638"/>
          <c:h val="0.78861708953047538"/>
        </c:manualLayout>
      </c:layout>
      <c:lineChart>
        <c:grouping val="standard"/>
        <c:varyColors val="0"/>
        <c:ser>
          <c:idx val="0"/>
          <c:order val="0"/>
          <c:tx>
            <c:strRef>
              <c:f>AOPChartSheet_chart4!$B$1</c:f>
              <c:strCache>
                <c:ptCount val="1"/>
                <c:pt idx="0">
                  <c:v>NORTH MELBOURNE</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AOPChartSheet_chart4!$A$2:$A$31</c:f>
              <c:strCache>
                <c:ptCount val="30"/>
                <c:pt idx="0">
                  <c:v>2018-10</c:v>
                </c:pt>
                <c:pt idx="1">
                  <c:v>2018-11</c:v>
                </c:pt>
                <c:pt idx="2">
                  <c:v>2019-03</c:v>
                </c:pt>
                <c:pt idx="3">
                  <c:v>2019-04</c:v>
                </c:pt>
                <c:pt idx="4">
                  <c:v>2019-05</c:v>
                </c:pt>
                <c:pt idx="5">
                  <c:v>2019-06</c:v>
                </c:pt>
                <c:pt idx="6">
                  <c:v>2019-07</c:v>
                </c:pt>
                <c:pt idx="7">
                  <c:v>2019-08</c:v>
                </c:pt>
                <c:pt idx="8">
                  <c:v>2019-10</c:v>
                </c:pt>
                <c:pt idx="9">
                  <c:v>2019-11</c:v>
                </c:pt>
                <c:pt idx="10">
                  <c:v>2019-12</c:v>
                </c:pt>
                <c:pt idx="11">
                  <c:v>2020-01</c:v>
                </c:pt>
                <c:pt idx="12">
                  <c:v>2020-02</c:v>
                </c:pt>
                <c:pt idx="13">
                  <c:v>2020-03</c:v>
                </c:pt>
                <c:pt idx="14">
                  <c:v>2020-04</c:v>
                </c:pt>
                <c:pt idx="15">
                  <c:v>2020-05</c:v>
                </c:pt>
                <c:pt idx="16">
                  <c:v>2020-06</c:v>
                </c:pt>
                <c:pt idx="17">
                  <c:v>2020-07</c:v>
                </c:pt>
                <c:pt idx="18">
                  <c:v>2020-08</c:v>
                </c:pt>
                <c:pt idx="19">
                  <c:v>2020-12</c:v>
                </c:pt>
                <c:pt idx="20">
                  <c:v>2021-01</c:v>
                </c:pt>
                <c:pt idx="21">
                  <c:v>2021-02</c:v>
                </c:pt>
                <c:pt idx="22">
                  <c:v>2021-03</c:v>
                </c:pt>
                <c:pt idx="23">
                  <c:v>2021-04</c:v>
                </c:pt>
                <c:pt idx="24">
                  <c:v>2021-05</c:v>
                </c:pt>
                <c:pt idx="25">
                  <c:v>2021-06</c:v>
                </c:pt>
                <c:pt idx="26">
                  <c:v>2021-07</c:v>
                </c:pt>
                <c:pt idx="27">
                  <c:v>2021-08</c:v>
                </c:pt>
                <c:pt idx="28">
                  <c:v>2021-09</c:v>
                </c:pt>
                <c:pt idx="29">
                  <c:v>2021-10</c:v>
                </c:pt>
              </c:strCache>
            </c:strRef>
          </c:cat>
          <c:val>
            <c:numRef>
              <c:f>AOPChartSheet_chart4!$B$2:$B$31</c:f>
              <c:numCache>
                <c:formatCode>General</c:formatCode>
                <c:ptCount val="30"/>
                <c:pt idx="0">
                  <c:v>37.5</c:v>
                </c:pt>
                <c:pt idx="1">
                  <c:v>87.5</c:v>
                </c:pt>
                <c:pt idx="2">
                  <c:v>100</c:v>
                </c:pt>
                <c:pt idx="3">
                  <c:v>100</c:v>
                </c:pt>
                <c:pt idx="4">
                  <c:v>100</c:v>
                </c:pt>
                <c:pt idx="5">
                  <c:v>100</c:v>
                </c:pt>
                <c:pt idx="6">
                  <c:v>83.3</c:v>
                </c:pt>
                <c:pt idx="7">
                  <c:v>66.7</c:v>
                </c:pt>
                <c:pt idx="8">
                  <c:v>54.5</c:v>
                </c:pt>
                <c:pt idx="9">
                  <c:v>52.4</c:v>
                </c:pt>
                <c:pt idx="10">
                  <c:v>52.4</c:v>
                </c:pt>
                <c:pt idx="11">
                  <c:v>52</c:v>
                </c:pt>
                <c:pt idx="12">
                  <c:v>63.2</c:v>
                </c:pt>
                <c:pt idx="13">
                  <c:v>58.3</c:v>
                </c:pt>
                <c:pt idx="14">
                  <c:v>56</c:v>
                </c:pt>
                <c:pt idx="15">
                  <c:v>48.1</c:v>
                </c:pt>
                <c:pt idx="16">
                  <c:v>38.9</c:v>
                </c:pt>
                <c:pt idx="17">
                  <c:v>23.1</c:v>
                </c:pt>
                <c:pt idx="18">
                  <c:v>25</c:v>
                </c:pt>
                <c:pt idx="19">
                  <c:v>4.2</c:v>
                </c:pt>
                <c:pt idx="20">
                  <c:v>15.6</c:v>
                </c:pt>
                <c:pt idx="21">
                  <c:v>33.299999999999997</c:v>
                </c:pt>
                <c:pt idx="22">
                  <c:v>61.1</c:v>
                </c:pt>
                <c:pt idx="23">
                  <c:v>75.5</c:v>
                </c:pt>
                <c:pt idx="24">
                  <c:v>78.8</c:v>
                </c:pt>
                <c:pt idx="25">
                  <c:v>77.599999999999994</c:v>
                </c:pt>
                <c:pt idx="26">
                  <c:v>77.5</c:v>
                </c:pt>
                <c:pt idx="27">
                  <c:v>63.6</c:v>
                </c:pt>
                <c:pt idx="28">
                  <c:v>43.5</c:v>
                </c:pt>
                <c:pt idx="29">
                  <c:v>20.6</c:v>
                </c:pt>
              </c:numCache>
            </c:numRef>
          </c:val>
          <c:smooth val="0"/>
          <c:extLst>
            <c:ext xmlns:c16="http://schemas.microsoft.com/office/drawing/2014/chart" uri="{C3380CC4-5D6E-409C-BE32-E72D297353CC}">
              <c16:uniqueId val="{00000000-30C8-4CD2-A5A1-71FD74E3D37E}"/>
            </c:ext>
          </c:extLst>
        </c:ser>
        <c:ser>
          <c:idx val="1"/>
          <c:order val="1"/>
          <c:tx>
            <c:strRef>
              <c:f>AOPChartSheet_chart4!$C$1</c:f>
              <c:strCache>
                <c:ptCount val="1"/>
                <c:pt idx="0">
                  <c:v>Melbourne</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AOPChartSheet_chart4!$A$2:$A$31</c:f>
              <c:strCache>
                <c:ptCount val="30"/>
                <c:pt idx="0">
                  <c:v>2018-10</c:v>
                </c:pt>
                <c:pt idx="1">
                  <c:v>2018-11</c:v>
                </c:pt>
                <c:pt idx="2">
                  <c:v>2019-03</c:v>
                </c:pt>
                <c:pt idx="3">
                  <c:v>2019-04</c:v>
                </c:pt>
                <c:pt idx="4">
                  <c:v>2019-05</c:v>
                </c:pt>
                <c:pt idx="5">
                  <c:v>2019-06</c:v>
                </c:pt>
                <c:pt idx="6">
                  <c:v>2019-07</c:v>
                </c:pt>
                <c:pt idx="7">
                  <c:v>2019-08</c:v>
                </c:pt>
                <c:pt idx="8">
                  <c:v>2019-10</c:v>
                </c:pt>
                <c:pt idx="9">
                  <c:v>2019-11</c:v>
                </c:pt>
                <c:pt idx="10">
                  <c:v>2019-12</c:v>
                </c:pt>
                <c:pt idx="11">
                  <c:v>2020-01</c:v>
                </c:pt>
                <c:pt idx="12">
                  <c:v>2020-02</c:v>
                </c:pt>
                <c:pt idx="13">
                  <c:v>2020-03</c:v>
                </c:pt>
                <c:pt idx="14">
                  <c:v>2020-04</c:v>
                </c:pt>
                <c:pt idx="15">
                  <c:v>2020-05</c:v>
                </c:pt>
                <c:pt idx="16">
                  <c:v>2020-06</c:v>
                </c:pt>
                <c:pt idx="17">
                  <c:v>2020-07</c:v>
                </c:pt>
                <c:pt idx="18">
                  <c:v>2020-08</c:v>
                </c:pt>
                <c:pt idx="19">
                  <c:v>2020-12</c:v>
                </c:pt>
                <c:pt idx="20">
                  <c:v>2021-01</c:v>
                </c:pt>
                <c:pt idx="21">
                  <c:v>2021-02</c:v>
                </c:pt>
                <c:pt idx="22">
                  <c:v>2021-03</c:v>
                </c:pt>
                <c:pt idx="23">
                  <c:v>2021-04</c:v>
                </c:pt>
                <c:pt idx="24">
                  <c:v>2021-05</c:v>
                </c:pt>
                <c:pt idx="25">
                  <c:v>2021-06</c:v>
                </c:pt>
                <c:pt idx="26">
                  <c:v>2021-07</c:v>
                </c:pt>
                <c:pt idx="27">
                  <c:v>2021-08</c:v>
                </c:pt>
                <c:pt idx="28">
                  <c:v>2021-09</c:v>
                </c:pt>
                <c:pt idx="29">
                  <c:v>2021-10</c:v>
                </c:pt>
              </c:strCache>
            </c:strRef>
          </c:cat>
          <c:val>
            <c:numRef>
              <c:f>AOPChartSheet_chart4!$C$2:$C$38</c:f>
              <c:numCache>
                <c:formatCode>General</c:formatCode>
                <c:ptCount val="37"/>
                <c:pt idx="0">
                  <c:v>80</c:v>
                </c:pt>
                <c:pt idx="1">
                  <c:v>80</c:v>
                </c:pt>
                <c:pt idx="2">
                  <c:v>75</c:v>
                </c:pt>
                <c:pt idx="3">
                  <c:v>83.3</c:v>
                </c:pt>
                <c:pt idx="4">
                  <c:v>66.7</c:v>
                </c:pt>
                <c:pt idx="5">
                  <c:v>75</c:v>
                </c:pt>
                <c:pt idx="6">
                  <c:v>92.9</c:v>
                </c:pt>
                <c:pt idx="7">
                  <c:v>55.6</c:v>
                </c:pt>
                <c:pt idx="8">
                  <c:v>69.2</c:v>
                </c:pt>
                <c:pt idx="9">
                  <c:v>73.3</c:v>
                </c:pt>
                <c:pt idx="10">
                  <c:v>75</c:v>
                </c:pt>
                <c:pt idx="11">
                  <c:v>66.7</c:v>
                </c:pt>
                <c:pt idx="12">
                  <c:v>61.4</c:v>
                </c:pt>
                <c:pt idx="13">
                  <c:v>57.1</c:v>
                </c:pt>
                <c:pt idx="14">
                  <c:v>50</c:v>
                </c:pt>
                <c:pt idx="15">
                  <c:v>56.8</c:v>
                </c:pt>
                <c:pt idx="16">
                  <c:v>66.7</c:v>
                </c:pt>
                <c:pt idx="17">
                  <c:v>64.3</c:v>
                </c:pt>
                <c:pt idx="18">
                  <c:v>57.1</c:v>
                </c:pt>
                <c:pt idx="19">
                  <c:v>50</c:v>
                </c:pt>
                <c:pt idx="20">
                  <c:v>46.2</c:v>
                </c:pt>
                <c:pt idx="21">
                  <c:v>31.4</c:v>
                </c:pt>
                <c:pt idx="22">
                  <c:v>34.200000000000003</c:v>
                </c:pt>
                <c:pt idx="23">
                  <c:v>27.8</c:v>
                </c:pt>
                <c:pt idx="24">
                  <c:v>5.8</c:v>
                </c:pt>
                <c:pt idx="25">
                  <c:v>3.2</c:v>
                </c:pt>
                <c:pt idx="26">
                  <c:v>7.1</c:v>
                </c:pt>
                <c:pt idx="27">
                  <c:v>20</c:v>
                </c:pt>
                <c:pt idx="28">
                  <c:v>42.6</c:v>
                </c:pt>
                <c:pt idx="29">
                  <c:v>66.7</c:v>
                </c:pt>
                <c:pt idx="30">
                  <c:v>75</c:v>
                </c:pt>
                <c:pt idx="31">
                  <c:v>75</c:v>
                </c:pt>
                <c:pt idx="32">
                  <c:v>75</c:v>
                </c:pt>
                <c:pt idx="33">
                  <c:v>72.7</c:v>
                </c:pt>
                <c:pt idx="34">
                  <c:v>63.8</c:v>
                </c:pt>
                <c:pt idx="35">
                  <c:v>42.3</c:v>
                </c:pt>
                <c:pt idx="36">
                  <c:v>25</c:v>
                </c:pt>
              </c:numCache>
            </c:numRef>
          </c:val>
          <c:smooth val="0"/>
          <c:extLst>
            <c:ext xmlns:c16="http://schemas.microsoft.com/office/drawing/2014/chart" uri="{C3380CC4-5D6E-409C-BE32-E72D297353CC}">
              <c16:uniqueId val="{00000001-30C8-4CD2-A5A1-71FD74E3D37E}"/>
            </c:ext>
          </c:extLst>
        </c:ser>
        <c:ser>
          <c:idx val="2"/>
          <c:order val="2"/>
          <c:tx>
            <c:strRef>
              <c:f>AOPChartSheet_chart4!$D$1</c:f>
              <c:strCache>
                <c:ptCount val="1"/>
                <c:pt idx="0">
                  <c:v>Victoria</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AOPChartSheet_chart4!$A$2:$A$31</c:f>
              <c:strCache>
                <c:ptCount val="30"/>
                <c:pt idx="0">
                  <c:v>2018-10</c:v>
                </c:pt>
                <c:pt idx="1">
                  <c:v>2018-11</c:v>
                </c:pt>
                <c:pt idx="2">
                  <c:v>2019-03</c:v>
                </c:pt>
                <c:pt idx="3">
                  <c:v>2019-04</c:v>
                </c:pt>
                <c:pt idx="4">
                  <c:v>2019-05</c:v>
                </c:pt>
                <c:pt idx="5">
                  <c:v>2019-06</c:v>
                </c:pt>
                <c:pt idx="6">
                  <c:v>2019-07</c:v>
                </c:pt>
                <c:pt idx="7">
                  <c:v>2019-08</c:v>
                </c:pt>
                <c:pt idx="8">
                  <c:v>2019-10</c:v>
                </c:pt>
                <c:pt idx="9">
                  <c:v>2019-11</c:v>
                </c:pt>
                <c:pt idx="10">
                  <c:v>2019-12</c:v>
                </c:pt>
                <c:pt idx="11">
                  <c:v>2020-01</c:v>
                </c:pt>
                <c:pt idx="12">
                  <c:v>2020-02</c:v>
                </c:pt>
                <c:pt idx="13">
                  <c:v>2020-03</c:v>
                </c:pt>
                <c:pt idx="14">
                  <c:v>2020-04</c:v>
                </c:pt>
                <c:pt idx="15">
                  <c:v>2020-05</c:v>
                </c:pt>
                <c:pt idx="16">
                  <c:v>2020-06</c:v>
                </c:pt>
                <c:pt idx="17">
                  <c:v>2020-07</c:v>
                </c:pt>
                <c:pt idx="18">
                  <c:v>2020-08</c:v>
                </c:pt>
                <c:pt idx="19">
                  <c:v>2020-12</c:v>
                </c:pt>
                <c:pt idx="20">
                  <c:v>2021-01</c:v>
                </c:pt>
                <c:pt idx="21">
                  <c:v>2021-02</c:v>
                </c:pt>
                <c:pt idx="22">
                  <c:v>2021-03</c:v>
                </c:pt>
                <c:pt idx="23">
                  <c:v>2021-04</c:v>
                </c:pt>
                <c:pt idx="24">
                  <c:v>2021-05</c:v>
                </c:pt>
                <c:pt idx="25">
                  <c:v>2021-06</c:v>
                </c:pt>
                <c:pt idx="26">
                  <c:v>2021-07</c:v>
                </c:pt>
                <c:pt idx="27">
                  <c:v>2021-08</c:v>
                </c:pt>
                <c:pt idx="28">
                  <c:v>2021-09</c:v>
                </c:pt>
                <c:pt idx="29">
                  <c:v>2021-10</c:v>
                </c:pt>
              </c:strCache>
            </c:strRef>
          </c:cat>
          <c:val>
            <c:numRef>
              <c:f>AOPChartSheet_chart4!$D$2:$D$38</c:f>
              <c:numCache>
                <c:formatCode>General</c:formatCode>
                <c:ptCount val="37"/>
                <c:pt idx="0">
                  <c:v>75</c:v>
                </c:pt>
                <c:pt idx="1">
                  <c:v>75</c:v>
                </c:pt>
                <c:pt idx="2">
                  <c:v>75</c:v>
                </c:pt>
                <c:pt idx="3">
                  <c:v>75</c:v>
                </c:pt>
                <c:pt idx="4">
                  <c:v>66.7</c:v>
                </c:pt>
                <c:pt idx="5">
                  <c:v>75</c:v>
                </c:pt>
                <c:pt idx="6">
                  <c:v>75</c:v>
                </c:pt>
                <c:pt idx="7">
                  <c:v>50</c:v>
                </c:pt>
                <c:pt idx="8">
                  <c:v>66.2</c:v>
                </c:pt>
                <c:pt idx="9">
                  <c:v>68</c:v>
                </c:pt>
                <c:pt idx="10">
                  <c:v>70</c:v>
                </c:pt>
                <c:pt idx="11">
                  <c:v>66.7</c:v>
                </c:pt>
                <c:pt idx="12">
                  <c:v>50</c:v>
                </c:pt>
                <c:pt idx="13">
                  <c:v>46.6</c:v>
                </c:pt>
                <c:pt idx="14">
                  <c:v>38.9</c:v>
                </c:pt>
                <c:pt idx="15">
                  <c:v>45.3</c:v>
                </c:pt>
                <c:pt idx="16">
                  <c:v>54.5</c:v>
                </c:pt>
                <c:pt idx="17">
                  <c:v>54.5</c:v>
                </c:pt>
                <c:pt idx="18">
                  <c:v>48.9</c:v>
                </c:pt>
                <c:pt idx="19">
                  <c:v>45</c:v>
                </c:pt>
                <c:pt idx="20">
                  <c:v>40.4</c:v>
                </c:pt>
                <c:pt idx="21">
                  <c:v>30.4</c:v>
                </c:pt>
                <c:pt idx="22">
                  <c:v>31.3</c:v>
                </c:pt>
                <c:pt idx="23">
                  <c:v>25</c:v>
                </c:pt>
                <c:pt idx="24">
                  <c:v>7.1</c:v>
                </c:pt>
                <c:pt idx="25">
                  <c:v>3.4</c:v>
                </c:pt>
                <c:pt idx="26">
                  <c:v>7</c:v>
                </c:pt>
                <c:pt idx="27">
                  <c:v>19.2</c:v>
                </c:pt>
                <c:pt idx="28">
                  <c:v>38.299999999999997</c:v>
                </c:pt>
                <c:pt idx="29">
                  <c:v>58.3</c:v>
                </c:pt>
                <c:pt idx="30">
                  <c:v>66.7</c:v>
                </c:pt>
                <c:pt idx="31">
                  <c:v>66.7</c:v>
                </c:pt>
                <c:pt idx="32">
                  <c:v>66.7</c:v>
                </c:pt>
                <c:pt idx="33">
                  <c:v>64.5</c:v>
                </c:pt>
                <c:pt idx="34">
                  <c:v>54</c:v>
                </c:pt>
                <c:pt idx="35">
                  <c:v>37.5</c:v>
                </c:pt>
                <c:pt idx="36">
                  <c:v>24.5</c:v>
                </c:pt>
              </c:numCache>
            </c:numRef>
          </c:val>
          <c:smooth val="0"/>
          <c:extLst>
            <c:ext xmlns:c16="http://schemas.microsoft.com/office/drawing/2014/chart" uri="{C3380CC4-5D6E-409C-BE32-E72D297353CC}">
              <c16:uniqueId val="{00000002-30C8-4CD2-A5A1-71FD74E3D37E}"/>
            </c:ext>
          </c:extLst>
        </c:ser>
        <c:ser>
          <c:idx val="3"/>
          <c:order val="3"/>
          <c:tx>
            <c:strRef>
              <c:f>AOPChartSheet_chart4!$E$1</c:f>
              <c:strCache>
                <c:ptCount val="1"/>
                <c:pt idx="0">
                  <c:v>Australia</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AOPChartSheet_chart4!$A$2:$A$31</c:f>
              <c:strCache>
                <c:ptCount val="30"/>
                <c:pt idx="0">
                  <c:v>2018-10</c:v>
                </c:pt>
                <c:pt idx="1">
                  <c:v>2018-11</c:v>
                </c:pt>
                <c:pt idx="2">
                  <c:v>2019-03</c:v>
                </c:pt>
                <c:pt idx="3">
                  <c:v>2019-04</c:v>
                </c:pt>
                <c:pt idx="4">
                  <c:v>2019-05</c:v>
                </c:pt>
                <c:pt idx="5">
                  <c:v>2019-06</c:v>
                </c:pt>
                <c:pt idx="6">
                  <c:v>2019-07</c:v>
                </c:pt>
                <c:pt idx="7">
                  <c:v>2019-08</c:v>
                </c:pt>
                <c:pt idx="8">
                  <c:v>2019-10</c:v>
                </c:pt>
                <c:pt idx="9">
                  <c:v>2019-11</c:v>
                </c:pt>
                <c:pt idx="10">
                  <c:v>2019-12</c:v>
                </c:pt>
                <c:pt idx="11">
                  <c:v>2020-01</c:v>
                </c:pt>
                <c:pt idx="12">
                  <c:v>2020-02</c:v>
                </c:pt>
                <c:pt idx="13">
                  <c:v>2020-03</c:v>
                </c:pt>
                <c:pt idx="14">
                  <c:v>2020-04</c:v>
                </c:pt>
                <c:pt idx="15">
                  <c:v>2020-05</c:v>
                </c:pt>
                <c:pt idx="16">
                  <c:v>2020-06</c:v>
                </c:pt>
                <c:pt idx="17">
                  <c:v>2020-07</c:v>
                </c:pt>
                <c:pt idx="18">
                  <c:v>2020-08</c:v>
                </c:pt>
                <c:pt idx="19">
                  <c:v>2020-12</c:v>
                </c:pt>
                <c:pt idx="20">
                  <c:v>2021-01</c:v>
                </c:pt>
                <c:pt idx="21">
                  <c:v>2021-02</c:v>
                </c:pt>
                <c:pt idx="22">
                  <c:v>2021-03</c:v>
                </c:pt>
                <c:pt idx="23">
                  <c:v>2021-04</c:v>
                </c:pt>
                <c:pt idx="24">
                  <c:v>2021-05</c:v>
                </c:pt>
                <c:pt idx="25">
                  <c:v>2021-06</c:v>
                </c:pt>
                <c:pt idx="26">
                  <c:v>2021-07</c:v>
                </c:pt>
                <c:pt idx="27">
                  <c:v>2021-08</c:v>
                </c:pt>
                <c:pt idx="28">
                  <c:v>2021-09</c:v>
                </c:pt>
                <c:pt idx="29">
                  <c:v>2021-10</c:v>
                </c:pt>
              </c:strCache>
            </c:strRef>
          </c:cat>
          <c:val>
            <c:numRef>
              <c:f>AOPChartSheet_chart4!$E$2:$E$38</c:f>
              <c:numCache>
                <c:formatCode>General</c:formatCode>
                <c:ptCount val="37"/>
                <c:pt idx="0">
                  <c:v>62.5</c:v>
                </c:pt>
                <c:pt idx="1">
                  <c:v>66.7</c:v>
                </c:pt>
                <c:pt idx="2">
                  <c:v>66.7</c:v>
                </c:pt>
                <c:pt idx="3">
                  <c:v>66.7</c:v>
                </c:pt>
                <c:pt idx="4">
                  <c:v>66.7</c:v>
                </c:pt>
                <c:pt idx="5">
                  <c:v>66.7</c:v>
                </c:pt>
                <c:pt idx="6">
                  <c:v>66.7</c:v>
                </c:pt>
                <c:pt idx="7">
                  <c:v>50</c:v>
                </c:pt>
                <c:pt idx="8">
                  <c:v>50</c:v>
                </c:pt>
                <c:pt idx="9">
                  <c:v>58.3</c:v>
                </c:pt>
                <c:pt idx="10">
                  <c:v>65.5</c:v>
                </c:pt>
                <c:pt idx="11">
                  <c:v>60</c:v>
                </c:pt>
                <c:pt idx="12">
                  <c:v>33.299999999999997</c:v>
                </c:pt>
                <c:pt idx="13">
                  <c:v>25</c:v>
                </c:pt>
                <c:pt idx="14">
                  <c:v>20.5</c:v>
                </c:pt>
                <c:pt idx="15">
                  <c:v>27.3</c:v>
                </c:pt>
                <c:pt idx="16">
                  <c:v>40.9</c:v>
                </c:pt>
                <c:pt idx="17">
                  <c:v>44.4</c:v>
                </c:pt>
                <c:pt idx="18">
                  <c:v>38.5</c:v>
                </c:pt>
                <c:pt idx="19">
                  <c:v>37.5</c:v>
                </c:pt>
                <c:pt idx="20">
                  <c:v>33.299999999999997</c:v>
                </c:pt>
                <c:pt idx="21">
                  <c:v>35.299999999999997</c:v>
                </c:pt>
                <c:pt idx="22">
                  <c:v>43.3</c:v>
                </c:pt>
                <c:pt idx="23">
                  <c:v>46.2</c:v>
                </c:pt>
                <c:pt idx="24">
                  <c:v>50</c:v>
                </c:pt>
                <c:pt idx="25">
                  <c:v>51.9</c:v>
                </c:pt>
                <c:pt idx="26">
                  <c:v>45.7</c:v>
                </c:pt>
                <c:pt idx="27">
                  <c:v>50</c:v>
                </c:pt>
                <c:pt idx="28">
                  <c:v>50</c:v>
                </c:pt>
                <c:pt idx="29">
                  <c:v>58.3</c:v>
                </c:pt>
                <c:pt idx="30">
                  <c:v>62.5</c:v>
                </c:pt>
                <c:pt idx="31">
                  <c:v>60</c:v>
                </c:pt>
                <c:pt idx="32">
                  <c:v>60.5</c:v>
                </c:pt>
                <c:pt idx="33">
                  <c:v>56.7</c:v>
                </c:pt>
                <c:pt idx="34">
                  <c:v>50</c:v>
                </c:pt>
                <c:pt idx="35">
                  <c:v>39.1</c:v>
                </c:pt>
                <c:pt idx="36">
                  <c:v>33.299999999999997</c:v>
                </c:pt>
              </c:numCache>
            </c:numRef>
          </c:val>
          <c:smooth val="0"/>
          <c:extLst>
            <c:ext xmlns:c16="http://schemas.microsoft.com/office/drawing/2014/chart" uri="{C3380CC4-5D6E-409C-BE32-E72D297353CC}">
              <c16:uniqueId val="{00000003-30C8-4CD2-A5A1-71FD74E3D37E}"/>
            </c:ext>
          </c:extLst>
        </c:ser>
        <c:dLbls>
          <c:showLegendKey val="0"/>
          <c:showVal val="0"/>
          <c:showCatName val="0"/>
          <c:showSerName val="0"/>
          <c:showPercent val="0"/>
          <c:showBubbleSize val="0"/>
        </c:dLbls>
        <c:dropLines>
          <c:spPr>
            <a:ln w="9525" cap="flat" cmpd="dbl" algn="ctr">
              <a:solidFill>
                <a:schemeClr val="tx1">
                  <a:lumMod val="50000"/>
                  <a:lumOff val="50000"/>
                  <a:alpha val="50000"/>
                </a:schemeClr>
              </a:solidFill>
              <a:prstDash val="dash"/>
              <a:round/>
            </a:ln>
            <a:effectLst/>
          </c:spPr>
        </c:dropLines>
        <c:smooth val="0"/>
        <c:axId val="92189432"/>
        <c:axId val="15470599"/>
      </c:lineChart>
      <c:dateAx>
        <c:axId val="92189432"/>
        <c:scaling>
          <c:orientation val="minMax"/>
        </c:scaling>
        <c:delete val="0"/>
        <c:axPos val="b"/>
        <c:numFmt formatCode="yyyy\-mm" sourceLinked="0"/>
        <c:majorTickMark val="in"/>
        <c:minorTickMark val="none"/>
        <c:tickLblPos val="low"/>
        <c:spPr>
          <a:noFill/>
          <a:ln w="12700" cap="flat" cmpd="sng" algn="ctr">
            <a:solidFill>
              <a:schemeClr val="bg2"/>
            </a:solidFill>
            <a:round/>
          </a:ln>
          <a:effectLst/>
        </c:spPr>
        <c:txPr>
          <a:bodyPr rot="-60000000" spcFirstLastPara="1" vertOverflow="ellipsis" vert="horz" wrap="square" anchor="t"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15470599"/>
        <c:crosses val="autoZero"/>
        <c:auto val="0"/>
        <c:lblOffset val="100"/>
        <c:baseTimeUnit val="months"/>
        <c:majorUnit val="6"/>
        <c:majorTimeUnit val="months"/>
        <c:minorUnit val="6"/>
      </c:dateAx>
      <c:valAx>
        <c:axId val="15470599"/>
        <c:scaling>
          <c:orientation val="minMax"/>
        </c:scaling>
        <c:delete val="0"/>
        <c:axPos val="l"/>
        <c:majorGridlines>
          <c:spPr>
            <a:ln w="9525" cap="flat" cmpd="sng" algn="ctr">
              <a:solidFill>
                <a:schemeClr val="bg2">
                  <a:lumMod val="90000"/>
                </a:schemeClr>
              </a:solidFill>
              <a:round/>
            </a:ln>
            <a:effectLst/>
          </c:spPr>
        </c:majorGridlines>
        <c:numFmt formatCode="General"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t" anchorCtr="0"/>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921894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AOPChartSheet_chart33!$B$1</c:f>
              <c:strCache>
                <c:ptCount val="1"/>
                <c:pt idx="0">
                  <c:v>NORTH MELBOURNE</c:v>
                </c:pt>
              </c:strCache>
            </c:strRef>
          </c:tx>
          <c:spPr>
            <a:solidFill>
              <a:schemeClr val="accent1">
                <a:alpha val="10196"/>
              </a:schemeClr>
            </a:solidFill>
            <a:ln w="50800">
              <a:solidFill>
                <a:schemeClr val="accent1">
                  <a:alpha val="30000"/>
                </a:schemeClr>
              </a:solidFill>
            </a:ln>
            <a:effectLst/>
          </c:spPr>
          <c:cat>
            <c:strRef>
              <c:f>AOPChartSheet_chart33!$A$2:$A$20</c:f>
              <c:strCache>
                <c:ptCount val="19"/>
                <c:pt idx="0">
                  <c:v>DSR+</c:v>
                </c:pt>
                <c:pt idx="1">
                  <c:v>DSR</c:v>
                </c:pt>
                <c:pt idx="2">
                  <c:v>SR+</c:v>
                </c:pt>
                <c:pt idx="3">
                  <c:v>SR</c:v>
                </c:pt>
                <c:pt idx="4">
                  <c:v>DOM</c:v>
                </c:pt>
                <c:pt idx="5">
                  <c:v>DISCOUNT</c:v>
                </c:pt>
                <c:pt idx="6">
                  <c:v>ACR</c:v>
                </c:pt>
                <c:pt idx="7">
                  <c:v>RENTERS</c:v>
                </c:pt>
                <c:pt idx="8">
                  <c:v>VACANCY</c:v>
                </c:pt>
                <c:pt idx="9">
                  <c:v>YIELD</c:v>
                </c:pt>
                <c:pt idx="10">
                  <c:v>SOM%</c:v>
                </c:pt>
                <c:pt idx="11">
                  <c:v>OSI</c:v>
                </c:pt>
                <c:pt idx="12">
                  <c:v>NPB</c:v>
                </c:pt>
                <c:pt idx="13">
                  <c:v>REP</c:v>
                </c:pt>
                <c:pt idx="14">
                  <c:v>LTG</c:v>
                </c:pt>
                <c:pt idx="15">
                  <c:v>PRG</c:v>
                </c:pt>
                <c:pt idx="16">
                  <c:v>PSG</c:v>
                </c:pt>
                <c:pt idx="17">
                  <c:v>SBA%</c:v>
                </c:pt>
                <c:pt idx="18">
                  <c:v>OFI%</c:v>
                </c:pt>
              </c:strCache>
            </c:strRef>
          </c:cat>
          <c:val>
            <c:numRef>
              <c:f>AOPChartSheet_chart33!$B$2:$B$20</c:f>
              <c:numCache>
                <c:formatCode>General</c:formatCode>
                <c:ptCount val="19"/>
                <c:pt idx="0">
                  <c:v>66</c:v>
                </c:pt>
                <c:pt idx="1">
                  <c:v>51</c:v>
                </c:pt>
                <c:pt idx="2">
                  <c:v>81</c:v>
                </c:pt>
                <c:pt idx="3">
                  <c:v>80</c:v>
                </c:pt>
                <c:pt idx="4">
                  <c:v>81</c:v>
                </c:pt>
                <c:pt idx="5">
                  <c:v>77</c:v>
                </c:pt>
                <c:pt idx="6">
                  <c:v>91</c:v>
                </c:pt>
                <c:pt idx="7">
                  <c:v>12</c:v>
                </c:pt>
                <c:pt idx="8">
                  <c:v>46</c:v>
                </c:pt>
                <c:pt idx="9">
                  <c:v>13</c:v>
                </c:pt>
                <c:pt idx="10">
                  <c:v>38</c:v>
                </c:pt>
                <c:pt idx="11">
                  <c:v>41</c:v>
                </c:pt>
                <c:pt idx="12">
                  <c:v>80</c:v>
                </c:pt>
                <c:pt idx="13">
                  <c:v>62</c:v>
                </c:pt>
                <c:pt idx="14">
                  <c:v>72</c:v>
                </c:pt>
                <c:pt idx="15">
                  <c:v>55</c:v>
                </c:pt>
                <c:pt idx="16">
                  <c:v>63</c:v>
                </c:pt>
                <c:pt idx="17">
                  <c:v>100</c:v>
                </c:pt>
                <c:pt idx="18">
                  <c:v>13</c:v>
                </c:pt>
              </c:numCache>
            </c:numRef>
          </c:val>
          <c:extLst>
            <c:ext xmlns:c16="http://schemas.microsoft.com/office/drawing/2014/chart" uri="{C3380CC4-5D6E-409C-BE32-E72D297353CC}">
              <c16:uniqueId val="{00000000-D08B-4D13-B033-2839C09224C2}"/>
            </c:ext>
          </c:extLst>
        </c:ser>
        <c:ser>
          <c:idx val="1"/>
          <c:order val="1"/>
          <c:tx>
            <c:strRef>
              <c:f>AOPChartSheet_chart33!$C$1</c:f>
              <c:strCache>
                <c:ptCount val="1"/>
                <c:pt idx="0">
                  <c:v>Melbourne</c:v>
                </c:pt>
              </c:strCache>
            </c:strRef>
          </c:tx>
          <c:spPr>
            <a:solidFill>
              <a:schemeClr val="accent2">
                <a:alpha val="10196"/>
              </a:schemeClr>
            </a:solidFill>
            <a:ln w="50800">
              <a:solidFill>
                <a:schemeClr val="accent2">
                  <a:alpha val="30000"/>
                </a:schemeClr>
              </a:solidFill>
            </a:ln>
            <a:effectLst/>
          </c:spPr>
          <c:cat>
            <c:strRef>
              <c:f>AOPChartSheet_chart33!$A$2:$A$20</c:f>
              <c:strCache>
                <c:ptCount val="19"/>
                <c:pt idx="0">
                  <c:v>DSR+</c:v>
                </c:pt>
                <c:pt idx="1">
                  <c:v>DSR</c:v>
                </c:pt>
                <c:pt idx="2">
                  <c:v>SR+</c:v>
                </c:pt>
                <c:pt idx="3">
                  <c:v>SR</c:v>
                </c:pt>
                <c:pt idx="4">
                  <c:v>DOM</c:v>
                </c:pt>
                <c:pt idx="5">
                  <c:v>DISCOUNT</c:v>
                </c:pt>
                <c:pt idx="6">
                  <c:v>ACR</c:v>
                </c:pt>
                <c:pt idx="7">
                  <c:v>RENTERS</c:v>
                </c:pt>
                <c:pt idx="8">
                  <c:v>VACANCY</c:v>
                </c:pt>
                <c:pt idx="9">
                  <c:v>YIELD</c:v>
                </c:pt>
                <c:pt idx="10">
                  <c:v>SOM%</c:v>
                </c:pt>
                <c:pt idx="11">
                  <c:v>OSI</c:v>
                </c:pt>
                <c:pt idx="12">
                  <c:v>NPB</c:v>
                </c:pt>
                <c:pt idx="13">
                  <c:v>REP</c:v>
                </c:pt>
                <c:pt idx="14">
                  <c:v>LTG</c:v>
                </c:pt>
                <c:pt idx="15">
                  <c:v>PRG</c:v>
                </c:pt>
                <c:pt idx="16">
                  <c:v>PSG</c:v>
                </c:pt>
                <c:pt idx="17">
                  <c:v>SBA%</c:v>
                </c:pt>
                <c:pt idx="18">
                  <c:v>OFI%</c:v>
                </c:pt>
              </c:strCache>
            </c:strRef>
          </c:cat>
          <c:val>
            <c:numRef>
              <c:f>AOPChartSheet_chart33!$C$2:$C$20</c:f>
              <c:numCache>
                <c:formatCode>General</c:formatCode>
                <c:ptCount val="19"/>
                <c:pt idx="0">
                  <c:v>62</c:v>
                </c:pt>
                <c:pt idx="1">
                  <c:v>62</c:v>
                </c:pt>
                <c:pt idx="2">
                  <c:v>79</c:v>
                </c:pt>
                <c:pt idx="3">
                  <c:v>70</c:v>
                </c:pt>
                <c:pt idx="4">
                  <c:v>84</c:v>
                </c:pt>
                <c:pt idx="5">
                  <c:v>91</c:v>
                </c:pt>
                <c:pt idx="6">
                  <c:v>100</c:v>
                </c:pt>
                <c:pt idx="7">
                  <c:v>54</c:v>
                </c:pt>
                <c:pt idx="8">
                  <c:v>66</c:v>
                </c:pt>
                <c:pt idx="9">
                  <c:v>18</c:v>
                </c:pt>
                <c:pt idx="10">
                  <c:v>47</c:v>
                </c:pt>
                <c:pt idx="11">
                  <c:v>73</c:v>
                </c:pt>
                <c:pt idx="12">
                  <c:v>59</c:v>
                </c:pt>
                <c:pt idx="13">
                  <c:v>55</c:v>
                </c:pt>
                <c:pt idx="14">
                  <c:v>57</c:v>
                </c:pt>
                <c:pt idx="15">
                  <c:v>30</c:v>
                </c:pt>
                <c:pt idx="16">
                  <c:v>11</c:v>
                </c:pt>
                <c:pt idx="17">
                  <c:v>99</c:v>
                </c:pt>
                <c:pt idx="18">
                  <c:v>16</c:v>
                </c:pt>
              </c:numCache>
            </c:numRef>
          </c:val>
          <c:extLst>
            <c:ext xmlns:c16="http://schemas.microsoft.com/office/drawing/2014/chart" uri="{C3380CC4-5D6E-409C-BE32-E72D297353CC}">
              <c16:uniqueId val="{00000001-D08B-4D13-B033-2839C09224C2}"/>
            </c:ext>
          </c:extLst>
        </c:ser>
        <c:ser>
          <c:idx val="2"/>
          <c:order val="2"/>
          <c:tx>
            <c:strRef>
              <c:f>AOPChartSheet_chart33!$D$1</c:f>
              <c:strCache>
                <c:ptCount val="1"/>
                <c:pt idx="0">
                  <c:v>Victoria</c:v>
                </c:pt>
              </c:strCache>
            </c:strRef>
          </c:tx>
          <c:spPr>
            <a:solidFill>
              <a:schemeClr val="accent3">
                <a:alpha val="10196"/>
              </a:schemeClr>
            </a:solidFill>
            <a:ln w="50800">
              <a:solidFill>
                <a:schemeClr val="accent3">
                  <a:alpha val="30000"/>
                </a:schemeClr>
              </a:solidFill>
            </a:ln>
            <a:effectLst/>
          </c:spPr>
          <c:cat>
            <c:strRef>
              <c:f>AOPChartSheet_chart33!$A$2:$A$20</c:f>
              <c:strCache>
                <c:ptCount val="19"/>
                <c:pt idx="0">
                  <c:v>DSR+</c:v>
                </c:pt>
                <c:pt idx="1">
                  <c:v>DSR</c:v>
                </c:pt>
                <c:pt idx="2">
                  <c:v>SR+</c:v>
                </c:pt>
                <c:pt idx="3">
                  <c:v>SR</c:v>
                </c:pt>
                <c:pt idx="4">
                  <c:v>DOM</c:v>
                </c:pt>
                <c:pt idx="5">
                  <c:v>DISCOUNT</c:v>
                </c:pt>
                <c:pt idx="6">
                  <c:v>ACR</c:v>
                </c:pt>
                <c:pt idx="7">
                  <c:v>RENTERS</c:v>
                </c:pt>
                <c:pt idx="8">
                  <c:v>VACANCY</c:v>
                </c:pt>
                <c:pt idx="9">
                  <c:v>YIELD</c:v>
                </c:pt>
                <c:pt idx="10">
                  <c:v>SOM%</c:v>
                </c:pt>
                <c:pt idx="11">
                  <c:v>OSI</c:v>
                </c:pt>
                <c:pt idx="12">
                  <c:v>NPB</c:v>
                </c:pt>
                <c:pt idx="13">
                  <c:v>REP</c:v>
                </c:pt>
                <c:pt idx="14">
                  <c:v>LTG</c:v>
                </c:pt>
                <c:pt idx="15">
                  <c:v>PRG</c:v>
                </c:pt>
                <c:pt idx="16">
                  <c:v>PSG</c:v>
                </c:pt>
                <c:pt idx="17">
                  <c:v>SBA%</c:v>
                </c:pt>
                <c:pt idx="18">
                  <c:v>OFI%</c:v>
                </c:pt>
              </c:strCache>
            </c:strRef>
          </c:cat>
          <c:val>
            <c:numRef>
              <c:f>AOPChartSheet_chart33!$D$2:$D$20</c:f>
              <c:numCache>
                <c:formatCode>General</c:formatCode>
                <c:ptCount val="19"/>
                <c:pt idx="0">
                  <c:v>59</c:v>
                </c:pt>
                <c:pt idx="1">
                  <c:v>64</c:v>
                </c:pt>
                <c:pt idx="2">
                  <c:v>69</c:v>
                </c:pt>
                <c:pt idx="3">
                  <c:v>62</c:v>
                </c:pt>
                <c:pt idx="4">
                  <c:v>84</c:v>
                </c:pt>
                <c:pt idx="5">
                  <c:v>94</c:v>
                </c:pt>
                <c:pt idx="6">
                  <c:v>100</c:v>
                </c:pt>
                <c:pt idx="7">
                  <c:v>57</c:v>
                </c:pt>
                <c:pt idx="8">
                  <c:v>80</c:v>
                </c:pt>
                <c:pt idx="9">
                  <c:v>20</c:v>
                </c:pt>
                <c:pt idx="10">
                  <c:v>47</c:v>
                </c:pt>
                <c:pt idx="11">
                  <c:v>70</c:v>
                </c:pt>
                <c:pt idx="12">
                  <c:v>59</c:v>
                </c:pt>
                <c:pt idx="13">
                  <c:v>54</c:v>
                </c:pt>
                <c:pt idx="14">
                  <c:v>58</c:v>
                </c:pt>
                <c:pt idx="15">
                  <c:v>45</c:v>
                </c:pt>
                <c:pt idx="16">
                  <c:v>3</c:v>
                </c:pt>
                <c:pt idx="17">
                  <c:v>88</c:v>
                </c:pt>
                <c:pt idx="18">
                  <c:v>16</c:v>
                </c:pt>
              </c:numCache>
            </c:numRef>
          </c:val>
          <c:extLst>
            <c:ext xmlns:c16="http://schemas.microsoft.com/office/drawing/2014/chart" uri="{C3380CC4-5D6E-409C-BE32-E72D297353CC}">
              <c16:uniqueId val="{00000002-D08B-4D13-B033-2839C09224C2}"/>
            </c:ext>
          </c:extLst>
        </c:ser>
        <c:ser>
          <c:idx val="3"/>
          <c:order val="3"/>
          <c:tx>
            <c:strRef>
              <c:f>AOPChartSheet_chart33!$E$1</c:f>
              <c:strCache>
                <c:ptCount val="1"/>
                <c:pt idx="0">
                  <c:v>Australia</c:v>
                </c:pt>
              </c:strCache>
            </c:strRef>
          </c:tx>
          <c:spPr>
            <a:solidFill>
              <a:schemeClr val="accent4">
                <a:alpha val="10196"/>
              </a:schemeClr>
            </a:solidFill>
            <a:ln w="50800">
              <a:solidFill>
                <a:schemeClr val="accent4">
                  <a:alpha val="30000"/>
                </a:schemeClr>
              </a:solidFill>
            </a:ln>
            <a:effectLst/>
          </c:spPr>
          <c:cat>
            <c:strRef>
              <c:f>AOPChartSheet_chart33!$A$2:$A$20</c:f>
              <c:strCache>
                <c:ptCount val="19"/>
                <c:pt idx="0">
                  <c:v>DSR+</c:v>
                </c:pt>
                <c:pt idx="1">
                  <c:v>DSR</c:v>
                </c:pt>
                <c:pt idx="2">
                  <c:v>SR+</c:v>
                </c:pt>
                <c:pt idx="3">
                  <c:v>SR</c:v>
                </c:pt>
                <c:pt idx="4">
                  <c:v>DOM</c:v>
                </c:pt>
                <c:pt idx="5">
                  <c:v>DISCOUNT</c:v>
                </c:pt>
                <c:pt idx="6">
                  <c:v>ACR</c:v>
                </c:pt>
                <c:pt idx="7">
                  <c:v>RENTERS</c:v>
                </c:pt>
                <c:pt idx="8">
                  <c:v>VACANCY</c:v>
                </c:pt>
                <c:pt idx="9">
                  <c:v>YIELD</c:v>
                </c:pt>
                <c:pt idx="10">
                  <c:v>SOM%</c:v>
                </c:pt>
                <c:pt idx="11">
                  <c:v>OSI</c:v>
                </c:pt>
                <c:pt idx="12">
                  <c:v>NPB</c:v>
                </c:pt>
                <c:pt idx="13">
                  <c:v>REP</c:v>
                </c:pt>
                <c:pt idx="14">
                  <c:v>LTG</c:v>
                </c:pt>
                <c:pt idx="15">
                  <c:v>PRG</c:v>
                </c:pt>
                <c:pt idx="16">
                  <c:v>PSG</c:v>
                </c:pt>
                <c:pt idx="17">
                  <c:v>SBA%</c:v>
                </c:pt>
                <c:pt idx="18">
                  <c:v>OFI%</c:v>
                </c:pt>
              </c:strCache>
            </c:strRef>
          </c:cat>
          <c:val>
            <c:numRef>
              <c:f>AOPChartSheet_chart33!$E$2:$E$20</c:f>
              <c:numCache>
                <c:formatCode>General</c:formatCode>
                <c:ptCount val="19"/>
                <c:pt idx="0">
                  <c:v>59</c:v>
                </c:pt>
                <c:pt idx="1">
                  <c:v>66</c:v>
                </c:pt>
                <c:pt idx="2">
                  <c:v>66</c:v>
                </c:pt>
                <c:pt idx="3">
                  <c:v>57</c:v>
                </c:pt>
                <c:pt idx="4">
                  <c:v>82</c:v>
                </c:pt>
                <c:pt idx="5">
                  <c:v>93</c:v>
                </c:pt>
                <c:pt idx="6">
                  <c:v>100</c:v>
                </c:pt>
                <c:pt idx="7">
                  <c:v>51</c:v>
                </c:pt>
                <c:pt idx="8">
                  <c:v>89</c:v>
                </c:pt>
                <c:pt idx="9">
                  <c:v>40</c:v>
                </c:pt>
                <c:pt idx="10">
                  <c:v>48</c:v>
                </c:pt>
                <c:pt idx="11">
                  <c:v>67</c:v>
                </c:pt>
                <c:pt idx="12">
                  <c:v>59</c:v>
                </c:pt>
                <c:pt idx="13">
                  <c:v>55</c:v>
                </c:pt>
                <c:pt idx="14">
                  <c:v>56</c:v>
                </c:pt>
                <c:pt idx="15">
                  <c:v>58</c:v>
                </c:pt>
                <c:pt idx="16">
                  <c:v>0</c:v>
                </c:pt>
                <c:pt idx="17">
                  <c:v>45</c:v>
                </c:pt>
                <c:pt idx="18">
                  <c:v>23</c:v>
                </c:pt>
              </c:numCache>
            </c:numRef>
          </c:val>
          <c:extLst>
            <c:ext xmlns:c16="http://schemas.microsoft.com/office/drawing/2014/chart" uri="{C3380CC4-5D6E-409C-BE32-E72D297353CC}">
              <c16:uniqueId val="{00000003-D08B-4D13-B033-2839C09224C2}"/>
            </c:ext>
          </c:extLst>
        </c:ser>
        <c:dLbls>
          <c:showLegendKey val="0"/>
          <c:showVal val="0"/>
          <c:showCatName val="0"/>
          <c:showSerName val="0"/>
          <c:showPercent val="0"/>
          <c:showBubbleSize val="0"/>
        </c:dLbls>
        <c:axId val="142309248"/>
        <c:axId val="142310784"/>
      </c:radarChart>
      <c:catAx>
        <c:axId val="142309248"/>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en-US"/>
          </a:p>
        </c:txPr>
        <c:crossAx val="142310784"/>
        <c:crosses val="autoZero"/>
        <c:auto val="1"/>
        <c:lblAlgn val="ctr"/>
        <c:lblOffset val="100"/>
        <c:noMultiLvlLbl val="1"/>
      </c:catAx>
      <c:valAx>
        <c:axId val="1423107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en-US"/>
          </a:p>
        </c:txPr>
        <c:crossAx val="14230924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showDLblsOverMax val="1"/>
  </c:chart>
  <c:spPr>
    <a:noFill/>
    <a:ln w="9525" cap="flat" cmpd="sng" algn="ctr">
      <a:solidFill>
        <a:schemeClr val="dk1">
          <a:lumMod val="15000"/>
          <a:lumOff val="85000"/>
        </a:schemeClr>
      </a:solidFill>
      <a:round/>
    </a:ln>
    <a:effectLst/>
  </c:spPr>
  <c:txPr>
    <a:bodyPr/>
    <a:lstStyle/>
    <a:p>
      <a:pPr>
        <a:defRPr lang="en-US"/>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764961947905721E-2"/>
          <c:y val="3.9007762327581394E-2"/>
          <c:w val="0.93310543499135779"/>
          <c:h val="0.82937086055732401"/>
        </c:manualLayout>
      </c:layout>
      <c:barChart>
        <c:barDir val="col"/>
        <c:grouping val="clustered"/>
        <c:varyColors val="0"/>
        <c:ser>
          <c:idx val="0"/>
          <c:order val="0"/>
          <c:tx>
            <c:strRef>
              <c:f>AOPChartSheet_chart12!$B$1</c:f>
              <c:strCache>
                <c:ptCount val="1"/>
                <c:pt idx="0">
                  <c:v>NORTH MELBOURNE</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AOPChartSheet_chart12!$A$2:$A$6</c:f>
              <c:numCache>
                <c:formatCode>General</c:formatCode>
                <c:ptCount val="5"/>
                <c:pt idx="0">
                  <c:v>1</c:v>
                </c:pt>
                <c:pt idx="1">
                  <c:v>2</c:v>
                </c:pt>
                <c:pt idx="2">
                  <c:v>3</c:v>
                </c:pt>
                <c:pt idx="3">
                  <c:v>4</c:v>
                </c:pt>
                <c:pt idx="4">
                  <c:v>5</c:v>
                </c:pt>
              </c:numCache>
            </c:numRef>
          </c:cat>
          <c:val>
            <c:numRef>
              <c:f>AOPChartSheet_chart12!$B$2:$B$6</c:f>
              <c:numCache>
                <c:formatCode>General</c:formatCode>
                <c:ptCount val="5"/>
                <c:pt idx="0">
                  <c:v>8.3000000000000007</c:v>
                </c:pt>
                <c:pt idx="1">
                  <c:v>15.9</c:v>
                </c:pt>
                <c:pt idx="2">
                  <c:v>23.5</c:v>
                </c:pt>
                <c:pt idx="3">
                  <c:v>32.1</c:v>
                </c:pt>
                <c:pt idx="4">
                  <c:v>40.5</c:v>
                </c:pt>
              </c:numCache>
            </c:numRef>
          </c:val>
          <c:extLst>
            <c:ext xmlns:c16="http://schemas.microsoft.com/office/drawing/2014/chart" uri="{C3380CC4-5D6E-409C-BE32-E72D297353CC}">
              <c16:uniqueId val="{00000000-AC41-4D40-9108-D1D06E55324C}"/>
            </c:ext>
          </c:extLst>
        </c:ser>
        <c:ser>
          <c:idx val="1"/>
          <c:order val="1"/>
          <c:tx>
            <c:strRef>
              <c:f>AOPChartSheet_chart12!$C$1</c:f>
              <c:strCache>
                <c:ptCount val="1"/>
                <c:pt idx="0">
                  <c:v>Melbourne SUA</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AOPChartSheet_chart12!$A$2:$A$6</c:f>
              <c:numCache>
                <c:formatCode>General</c:formatCode>
                <c:ptCount val="5"/>
                <c:pt idx="0">
                  <c:v>1</c:v>
                </c:pt>
                <c:pt idx="1">
                  <c:v>2</c:v>
                </c:pt>
                <c:pt idx="2">
                  <c:v>3</c:v>
                </c:pt>
                <c:pt idx="3">
                  <c:v>4</c:v>
                </c:pt>
                <c:pt idx="4">
                  <c:v>5</c:v>
                </c:pt>
              </c:numCache>
            </c:numRef>
          </c:cat>
          <c:val>
            <c:numRef>
              <c:f>AOPChartSheet_chart12!$C$2:$C$6</c:f>
              <c:numCache>
                <c:formatCode>General</c:formatCode>
                <c:ptCount val="5"/>
                <c:pt idx="0">
                  <c:v>6.1</c:v>
                </c:pt>
                <c:pt idx="1">
                  <c:v>12.2</c:v>
                </c:pt>
                <c:pt idx="2">
                  <c:v>18.399999999999999</c:v>
                </c:pt>
                <c:pt idx="3">
                  <c:v>25.1</c:v>
                </c:pt>
                <c:pt idx="4">
                  <c:v>31</c:v>
                </c:pt>
              </c:numCache>
            </c:numRef>
          </c:val>
          <c:extLst>
            <c:ext xmlns:c16="http://schemas.microsoft.com/office/drawing/2014/chart" uri="{C3380CC4-5D6E-409C-BE32-E72D297353CC}">
              <c16:uniqueId val="{00000001-AC41-4D40-9108-D1D06E55324C}"/>
            </c:ext>
          </c:extLst>
        </c:ser>
        <c:ser>
          <c:idx val="2"/>
          <c:order val="2"/>
          <c:tx>
            <c:strRef>
              <c:f>AOPChartSheet_chart12!$D$1</c:f>
              <c:strCache>
                <c:ptCount val="1"/>
                <c:pt idx="0">
                  <c:v>VIC</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AOPChartSheet_chart12!$A$2:$A$6</c:f>
              <c:numCache>
                <c:formatCode>General</c:formatCode>
                <c:ptCount val="5"/>
                <c:pt idx="0">
                  <c:v>1</c:v>
                </c:pt>
                <c:pt idx="1">
                  <c:v>2</c:v>
                </c:pt>
                <c:pt idx="2">
                  <c:v>3</c:v>
                </c:pt>
                <c:pt idx="3">
                  <c:v>4</c:v>
                </c:pt>
                <c:pt idx="4">
                  <c:v>5</c:v>
                </c:pt>
              </c:numCache>
            </c:numRef>
          </c:cat>
          <c:val>
            <c:numRef>
              <c:f>AOPChartSheet_chart12!$D$2:$D$6</c:f>
              <c:numCache>
                <c:formatCode>General</c:formatCode>
                <c:ptCount val="5"/>
                <c:pt idx="0">
                  <c:v>5.7</c:v>
                </c:pt>
                <c:pt idx="1">
                  <c:v>11.4</c:v>
                </c:pt>
                <c:pt idx="2">
                  <c:v>17</c:v>
                </c:pt>
                <c:pt idx="3">
                  <c:v>23.7</c:v>
                </c:pt>
                <c:pt idx="4">
                  <c:v>30</c:v>
                </c:pt>
              </c:numCache>
            </c:numRef>
          </c:val>
          <c:extLst>
            <c:ext xmlns:c16="http://schemas.microsoft.com/office/drawing/2014/chart" uri="{C3380CC4-5D6E-409C-BE32-E72D297353CC}">
              <c16:uniqueId val="{00000002-AC41-4D40-9108-D1D06E55324C}"/>
            </c:ext>
          </c:extLst>
        </c:ser>
        <c:ser>
          <c:idx val="3"/>
          <c:order val="3"/>
          <c:tx>
            <c:strRef>
              <c:f>AOPChartSheet_chart12!$E$1</c:f>
              <c:strCache>
                <c:ptCount val="1"/>
                <c:pt idx="0">
                  <c:v>Australia</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AOPChartSheet_chart12!$A$2:$A$6</c:f>
              <c:numCache>
                <c:formatCode>General</c:formatCode>
                <c:ptCount val="5"/>
                <c:pt idx="0">
                  <c:v>1</c:v>
                </c:pt>
                <c:pt idx="1">
                  <c:v>2</c:v>
                </c:pt>
                <c:pt idx="2">
                  <c:v>3</c:v>
                </c:pt>
                <c:pt idx="3">
                  <c:v>4</c:v>
                </c:pt>
                <c:pt idx="4">
                  <c:v>5</c:v>
                </c:pt>
              </c:numCache>
            </c:numRef>
          </c:cat>
          <c:val>
            <c:numRef>
              <c:f>AOPChartSheet_chart12!$E$2:$E$6</c:f>
              <c:numCache>
                <c:formatCode>General</c:formatCode>
                <c:ptCount val="5"/>
                <c:pt idx="0">
                  <c:v>5.6</c:v>
                </c:pt>
                <c:pt idx="1">
                  <c:v>11.3</c:v>
                </c:pt>
                <c:pt idx="2">
                  <c:v>16.899999999999999</c:v>
                </c:pt>
                <c:pt idx="3">
                  <c:v>23</c:v>
                </c:pt>
                <c:pt idx="4">
                  <c:v>28.9</c:v>
                </c:pt>
              </c:numCache>
            </c:numRef>
          </c:val>
          <c:extLst>
            <c:ext xmlns:c16="http://schemas.microsoft.com/office/drawing/2014/chart" uri="{C3380CC4-5D6E-409C-BE32-E72D297353CC}">
              <c16:uniqueId val="{00000003-AC41-4D40-9108-D1D06E55324C}"/>
            </c:ext>
          </c:extLst>
        </c:ser>
        <c:dLbls>
          <c:showLegendKey val="0"/>
          <c:showVal val="1"/>
          <c:showCatName val="0"/>
          <c:showSerName val="0"/>
          <c:showPercent val="0"/>
          <c:showBubbleSize val="0"/>
        </c:dLbls>
        <c:gapWidth val="164"/>
        <c:overlap val="-22"/>
        <c:axId val="142309248"/>
        <c:axId val="142310784"/>
      </c:barChart>
      <c:catAx>
        <c:axId val="142309248"/>
        <c:scaling>
          <c:orientation val="minMax"/>
        </c:scaling>
        <c:delete val="0"/>
        <c:axPos val="b"/>
        <c:numFmt formatCode="General" sourceLinked="0"/>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10784"/>
        <c:crosses val="autoZero"/>
        <c:auto val="1"/>
        <c:lblAlgn val="ctr"/>
        <c:lblOffset val="100"/>
        <c:noMultiLvlLbl val="1"/>
      </c:catAx>
      <c:valAx>
        <c:axId val="1423107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09248"/>
        <c:crosses val="autoZero"/>
        <c:crossBetween val="between"/>
      </c:valAx>
      <c:spPr>
        <a:noFill/>
        <a:ln>
          <a:noFill/>
        </a:ln>
        <a:effectLst/>
      </c:spPr>
    </c:plotArea>
    <c:legend>
      <c:legendPos val="t"/>
      <c:layout>
        <c:manualLayout>
          <c:xMode val="edge"/>
          <c:yMode val="edge"/>
          <c:x val="4.2154506698223418E-2"/>
          <c:y val="1.4948884814055775E-2"/>
          <c:w val="0.55394216618876391"/>
          <c:h val="0.156627955752106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3815502791881"/>
          <c:y val="4.3650793650793648E-2"/>
          <c:w val="0.83265983643936403"/>
          <c:h val="0.88413385826771651"/>
        </c:manualLayout>
      </c:layout>
      <c:areaChart>
        <c:grouping val="stacked"/>
        <c:varyColors val="0"/>
        <c:ser>
          <c:idx val="0"/>
          <c:order val="0"/>
          <c:tx>
            <c:strRef>
              <c:f>Sheet1!$B$1</c:f>
              <c:strCache>
                <c:ptCount val="1"/>
                <c:pt idx="0">
                  <c:v> </c:v>
                </c:pt>
              </c:strCache>
            </c:strRef>
          </c:tx>
          <c:spPr>
            <a:noFill/>
            <a:ln>
              <a:noFill/>
            </a:ln>
            <a:effectLst/>
          </c:spPr>
          <c:cat>
            <c:strRef>
              <c:f>Sheet1!$A$2:$A$6</c:f>
              <c:strCache>
                <c:ptCount val="5"/>
                <c:pt idx="0">
                  <c:v>2022-10</c:v>
                </c:pt>
                <c:pt idx="1">
                  <c:v>2023-10</c:v>
                </c:pt>
                <c:pt idx="2">
                  <c:v>2024-10</c:v>
                </c:pt>
                <c:pt idx="3">
                  <c:v>2025-10</c:v>
                </c:pt>
                <c:pt idx="4">
                  <c:v>2026-10</c:v>
                </c:pt>
              </c:strCache>
            </c:strRef>
          </c:cat>
          <c:val>
            <c:numRef>
              <c:f>Sheet1!$B$2:$B$6</c:f>
              <c:numCache>
                <c:formatCode>General</c:formatCode>
                <c:ptCount val="5"/>
                <c:pt idx="0">
                  <c:v>6.3</c:v>
                </c:pt>
                <c:pt idx="1">
                  <c:v>12</c:v>
                </c:pt>
                <c:pt idx="2">
                  <c:v>17.600000000000001</c:v>
                </c:pt>
                <c:pt idx="3">
                  <c:v>24.2</c:v>
                </c:pt>
                <c:pt idx="4">
                  <c:v>30.6</c:v>
                </c:pt>
              </c:numCache>
            </c:numRef>
          </c:val>
          <c:extLst>
            <c:ext xmlns:c16="http://schemas.microsoft.com/office/drawing/2014/chart" uri="{C3380CC4-5D6E-409C-BE32-E72D297353CC}">
              <c16:uniqueId val="{00000000-B69D-40E0-841E-E21E8A1C7311}"/>
            </c:ext>
          </c:extLst>
        </c:ser>
        <c:ser>
          <c:idx val="1"/>
          <c:order val="1"/>
          <c:tx>
            <c:strRef>
              <c:f>Sheet1!$C$1</c:f>
              <c:strCache>
                <c:ptCount val="1"/>
                <c:pt idx="0">
                  <c:v>Range</c:v>
                </c:pt>
              </c:strCache>
            </c:strRef>
          </c:tx>
          <c:spPr>
            <a:solidFill>
              <a:schemeClr val="accent1">
                <a:lumMod val="60000"/>
                <a:lumOff val="40000"/>
                <a:alpha val="30000"/>
              </a:schemeClr>
            </a:solidFill>
            <a:ln>
              <a:noFill/>
            </a:ln>
            <a:effectLst/>
          </c:spPr>
          <c:cat>
            <c:strRef>
              <c:f>Sheet1!$A$2:$A$6</c:f>
              <c:strCache>
                <c:ptCount val="5"/>
                <c:pt idx="0">
                  <c:v>2022-10</c:v>
                </c:pt>
                <c:pt idx="1">
                  <c:v>2023-10</c:v>
                </c:pt>
                <c:pt idx="2">
                  <c:v>2024-10</c:v>
                </c:pt>
                <c:pt idx="3">
                  <c:v>2025-10</c:v>
                </c:pt>
                <c:pt idx="4">
                  <c:v>2026-10</c:v>
                </c:pt>
              </c:strCache>
            </c:strRef>
          </c:cat>
          <c:val>
            <c:numRef>
              <c:f>Sheet1!$C$2:$C$6</c:f>
              <c:numCache>
                <c:formatCode>General</c:formatCode>
                <c:ptCount val="5"/>
                <c:pt idx="0">
                  <c:v>4</c:v>
                </c:pt>
                <c:pt idx="1">
                  <c:v>7.9</c:v>
                </c:pt>
                <c:pt idx="2">
                  <c:v>11.9</c:v>
                </c:pt>
                <c:pt idx="3">
                  <c:v>15.9</c:v>
                </c:pt>
                <c:pt idx="4">
                  <c:v>19.8</c:v>
                </c:pt>
              </c:numCache>
            </c:numRef>
          </c:val>
          <c:extLst>
            <c:ext xmlns:c16="http://schemas.microsoft.com/office/drawing/2014/chart" uri="{C3380CC4-5D6E-409C-BE32-E72D297353CC}">
              <c16:uniqueId val="{00000001-B69D-40E0-841E-E21E8A1C7311}"/>
            </c:ext>
          </c:extLst>
        </c:ser>
        <c:dLbls>
          <c:showLegendKey val="0"/>
          <c:showVal val="0"/>
          <c:showCatName val="0"/>
          <c:showSerName val="0"/>
          <c:showPercent val="0"/>
          <c:showBubbleSize val="0"/>
        </c:dLbls>
        <c:axId val="1063091728"/>
        <c:axId val="1063090896"/>
      </c:areaChart>
      <c:lineChart>
        <c:grouping val="standard"/>
        <c:varyColors val="0"/>
        <c:ser>
          <c:idx val="2"/>
          <c:order val="2"/>
          <c:tx>
            <c:strRef>
              <c:f>Sheet1!$D$1</c:f>
              <c:strCache>
                <c:ptCount val="1"/>
                <c:pt idx="0">
                  <c:v>Realistic</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Sheet1!$A$2:$A$6</c:f>
              <c:strCache>
                <c:ptCount val="5"/>
                <c:pt idx="0">
                  <c:v>2022-10</c:v>
                </c:pt>
                <c:pt idx="1">
                  <c:v>2023-10</c:v>
                </c:pt>
                <c:pt idx="2">
                  <c:v>2024-10</c:v>
                </c:pt>
                <c:pt idx="3">
                  <c:v>2025-10</c:v>
                </c:pt>
                <c:pt idx="4">
                  <c:v>2026-10</c:v>
                </c:pt>
              </c:strCache>
            </c:strRef>
          </c:cat>
          <c:val>
            <c:numRef>
              <c:f>Sheet1!$D$2:$D$6</c:f>
              <c:numCache>
                <c:formatCode>General</c:formatCode>
                <c:ptCount val="5"/>
                <c:pt idx="0">
                  <c:v>8.3000000000000007</c:v>
                </c:pt>
                <c:pt idx="1">
                  <c:v>15.9</c:v>
                </c:pt>
                <c:pt idx="2">
                  <c:v>23.5</c:v>
                </c:pt>
                <c:pt idx="3">
                  <c:v>32.1</c:v>
                </c:pt>
                <c:pt idx="4">
                  <c:v>40.5</c:v>
                </c:pt>
              </c:numCache>
            </c:numRef>
          </c:val>
          <c:smooth val="0"/>
          <c:extLst>
            <c:ext xmlns:c16="http://schemas.microsoft.com/office/drawing/2014/chart" uri="{C3380CC4-5D6E-409C-BE32-E72D297353CC}">
              <c16:uniqueId val="{00000002-B69D-40E0-841E-E21E8A1C7311}"/>
            </c:ext>
          </c:extLst>
        </c:ser>
        <c:dLbls>
          <c:showLegendKey val="0"/>
          <c:showVal val="0"/>
          <c:showCatName val="0"/>
          <c:showSerName val="0"/>
          <c:showPercent val="0"/>
          <c:showBubbleSize val="0"/>
        </c:dLbls>
        <c:dropLines>
          <c:spPr>
            <a:ln w="9525" cap="flat" cmpd="sng" algn="ctr">
              <a:solidFill>
                <a:schemeClr val="tx1">
                  <a:lumMod val="35000"/>
                  <a:lumOff val="65000"/>
                </a:schemeClr>
              </a:solidFill>
              <a:prstDash val="dash"/>
              <a:round/>
            </a:ln>
            <a:effectLst/>
          </c:spPr>
        </c:dropLines>
        <c:marker val="1"/>
        <c:smooth val="0"/>
        <c:axId val="1063091728"/>
        <c:axId val="1063090896"/>
      </c:lineChart>
      <c:catAx>
        <c:axId val="1063091728"/>
        <c:scaling>
          <c:orientation val="minMax"/>
        </c:scaling>
        <c:delete val="0"/>
        <c:axPos val="b"/>
        <c:numFmt formatCode="General" sourceLinked="1"/>
        <c:majorTickMark val="none"/>
        <c:minorTickMark val="none"/>
        <c:tickLblPos val="low"/>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090896"/>
        <c:crosses val="autoZero"/>
        <c:auto val="1"/>
        <c:lblAlgn val="ctr"/>
        <c:lblOffset val="100"/>
        <c:noMultiLvlLbl val="0"/>
      </c:catAx>
      <c:valAx>
        <c:axId val="1063090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Growth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3091728"/>
        <c:crosses val="autoZero"/>
        <c:crossBetween val="midCat"/>
      </c:valAx>
      <c:spPr>
        <a:noFill/>
        <a:ln>
          <a:noFill/>
        </a:ln>
        <a:effectLst/>
      </c:spPr>
    </c:plotArea>
    <c:legend>
      <c:legendPos val="b"/>
      <c:layout>
        <c:manualLayout>
          <c:xMode val="edge"/>
          <c:yMode val="edge"/>
          <c:x val="0.19296566971044787"/>
          <c:y val="7.4925750560249735E-2"/>
          <c:w val="0.39192371223867289"/>
          <c:h val="6.65685132553697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GB" sz="1000"/>
              <a:t>Birthplace</a:t>
            </a:r>
          </a:p>
        </c:rich>
      </c:tx>
      <c:layout>
        <c:manualLayout>
          <c:xMode val="edge"/>
          <c:yMode val="edge"/>
          <c:x val="0.71775221408426337"/>
          <c:y val="3.5543061225810201E-3"/>
        </c:manualLayout>
      </c:layout>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1.3041576324698543E-2"/>
          <c:y val="7.11044740097143E-2"/>
          <c:w val="0.98695842367530151"/>
          <c:h val="0.91448788728995078"/>
        </c:manualLayout>
      </c:layout>
      <c:doughnutChart>
        <c:varyColors val="1"/>
        <c:ser>
          <c:idx val="0"/>
          <c:order val="0"/>
          <c:tx>
            <c:strRef>
              <c:f>AOPChartSheet_chart4!$B$1</c:f>
              <c:strCache>
                <c:ptCount val="1"/>
                <c:pt idx="0">
                  <c:v>Series1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8F48-4FFE-93A6-F8DB04F66761}"/>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8F48-4FFE-93A6-F8DB04F66761}"/>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8F48-4FFE-93A6-F8DB04F66761}"/>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8F48-4FFE-93A6-F8DB04F66761}"/>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AOPChartSheet_chart4!$A$2:$A$3</c:f>
              <c:strCache>
                <c:ptCount val="2"/>
                <c:pt idx="0">
                  <c:v>Australia</c:v>
                </c:pt>
                <c:pt idx="1">
                  <c:v>Elsewhere</c:v>
                </c:pt>
              </c:strCache>
            </c:strRef>
          </c:cat>
          <c:val>
            <c:numRef>
              <c:f>AOPChartSheet_chart4!$B$2:$B$3</c:f>
              <c:numCache>
                <c:formatCode>General</c:formatCode>
                <c:ptCount val="2"/>
                <c:pt idx="0">
                  <c:v>6210</c:v>
                </c:pt>
                <c:pt idx="1">
                  <c:v>6841</c:v>
                </c:pt>
              </c:numCache>
            </c:numRef>
          </c:val>
          <c:extLst>
            <c:ext xmlns:c16="http://schemas.microsoft.com/office/drawing/2014/chart" uri="{C3380CC4-5D6E-409C-BE32-E72D297353CC}">
              <c16:uniqueId val="{00000008-8F48-4FFE-93A6-F8DB04F66761}"/>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GB" sz="1000"/>
              <a:t>Household Composition</a:t>
            </a:r>
          </a:p>
        </c:rich>
      </c:tx>
      <c:layout>
        <c:manualLayout>
          <c:xMode val="edge"/>
          <c:yMode val="edge"/>
          <c:x val="0.7251182795698925"/>
          <c:y val="7.6628352490421452E-3"/>
        </c:manualLayout>
      </c:layout>
      <c:overlay val="0"/>
      <c:spPr>
        <a:noFill/>
        <a:ln>
          <a:noFill/>
        </a:ln>
        <a:effectLst/>
      </c:spPr>
    </c:title>
    <c:autoTitleDeleted val="0"/>
    <c:plotArea>
      <c:layout>
        <c:manualLayout>
          <c:layoutTarget val="inner"/>
          <c:xMode val="edge"/>
          <c:yMode val="edge"/>
          <c:x val="0.20527395334900514"/>
          <c:y val="0.16559922100945271"/>
          <c:w val="0.79084495077581762"/>
          <c:h val="0.82821026274755916"/>
        </c:manualLayout>
      </c:layout>
      <c:pieChart>
        <c:varyColors val="1"/>
        <c:ser>
          <c:idx val="0"/>
          <c:order val="0"/>
          <c:tx>
            <c:strRef>
              <c:f>AOPChartSheet_chart4!$B$1</c:f>
              <c:strCache>
                <c:ptCount val="1"/>
                <c:pt idx="0">
                  <c:v>Series1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B96-4401-A44A-B52D820F635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B96-4401-A44A-B52D820F635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B96-4401-A44A-B52D820F635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B96-4401-A44A-B52D820F635D}"/>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AOPChartSheet_chart4!$A$2:$A$7</c:f>
              <c:strCache>
                <c:ptCount val="6"/>
                <c:pt idx="0">
                  <c:v>Couple family with no children</c:v>
                </c:pt>
                <c:pt idx="1">
                  <c:v>Couple family with children under 15</c:v>
                </c:pt>
                <c:pt idx="2">
                  <c:v>Couple family with no children under 15</c:v>
                </c:pt>
                <c:pt idx="3">
                  <c:v>One parent with children under 15</c:v>
                </c:pt>
                <c:pt idx="4">
                  <c:v>One parent with no children under 15</c:v>
                </c:pt>
                <c:pt idx="5">
                  <c:v>Other family</c:v>
                </c:pt>
              </c:strCache>
            </c:strRef>
          </c:cat>
          <c:val>
            <c:numRef>
              <c:f>AOPChartSheet_chart4!$B$2:$B$7</c:f>
              <c:numCache>
                <c:formatCode>General</c:formatCode>
                <c:ptCount val="6"/>
                <c:pt idx="0">
                  <c:v>1343</c:v>
                </c:pt>
                <c:pt idx="1">
                  <c:v>596</c:v>
                </c:pt>
                <c:pt idx="2">
                  <c:v>186</c:v>
                </c:pt>
                <c:pt idx="3">
                  <c:v>233</c:v>
                </c:pt>
                <c:pt idx="4">
                  <c:v>206</c:v>
                </c:pt>
                <c:pt idx="5">
                  <c:v>139</c:v>
                </c:pt>
              </c:numCache>
            </c:numRef>
          </c:val>
          <c:extLst>
            <c:ext xmlns:c16="http://schemas.microsoft.com/office/drawing/2014/chart" uri="{C3380CC4-5D6E-409C-BE32-E72D297353CC}">
              <c16:uniqueId val="{00000008-BB96-4401-A44A-B52D820F635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ln w="9525">
                  <a:noFill/>
                </a:ln>
                <a:solidFill>
                  <a:schemeClr val="tx1">
                    <a:lumMod val="50000"/>
                    <a:lumOff val="50000"/>
                  </a:schemeClr>
                </a:solidFill>
                <a:latin typeface="+mn-lt"/>
                <a:ea typeface="+mn-ea"/>
                <a:cs typeface="+mn-cs"/>
              </a:defRPr>
            </a:pPr>
            <a:r>
              <a:rPr lang="en-GB" sz="1000">
                <a:ln w="9525">
                  <a:noFill/>
                </a:ln>
                <a:solidFill>
                  <a:srgbClr val="7F7F7F"/>
                </a:solidFill>
              </a:rPr>
              <a:t>Method Of Travel To Work</a:t>
            </a:r>
          </a:p>
        </c:rich>
      </c:tx>
      <c:layout>
        <c:manualLayout>
          <c:xMode val="edge"/>
          <c:yMode val="edge"/>
          <c:x val="0.83095197496634488"/>
          <c:y val="2.0989505247376312E-2"/>
        </c:manualLayout>
      </c:layout>
      <c:overlay val="0"/>
      <c:spPr>
        <a:noFill/>
        <a:ln>
          <a:noFill/>
        </a:ln>
        <a:effectLst/>
      </c:spPr>
    </c:title>
    <c:autoTitleDeleted val="0"/>
    <c:plotArea>
      <c:layout>
        <c:manualLayout>
          <c:layoutTarget val="inner"/>
          <c:xMode val="edge"/>
          <c:yMode val="edge"/>
          <c:x val="0.2606441697012733"/>
          <c:y val="7.5577329445513458E-2"/>
          <c:w val="0.70945372409878604"/>
          <c:h val="0.85486264741644924"/>
        </c:manualLayout>
      </c:layout>
      <c:barChart>
        <c:barDir val="bar"/>
        <c:grouping val="clustered"/>
        <c:varyColors val="1"/>
        <c:ser>
          <c:idx val="0"/>
          <c:order val="0"/>
          <c:tx>
            <c:strRef>
              <c:f>AOPChartSheet_chart4!$B$1</c:f>
              <c:strCache>
                <c:ptCount val="1"/>
                <c:pt idx="0">
                  <c:v>Series1</c:v>
                </c:pt>
              </c:strCache>
            </c:strRef>
          </c:tx>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64FD-41CB-B814-44EA7287216B}"/>
              </c:ext>
            </c:extLst>
          </c:dPt>
          <c:dPt>
            <c:idx val="1"/>
            <c:invertIfNegative val="0"/>
            <c:bubble3D val="0"/>
            <c:spPr>
              <a:solidFill>
                <a:srgbClr val="FF9999"/>
              </a:solidFill>
              <a:ln>
                <a:noFill/>
              </a:ln>
              <a:effectLst/>
            </c:spPr>
            <c:extLst>
              <c:ext xmlns:c16="http://schemas.microsoft.com/office/drawing/2014/chart" uri="{C3380CC4-5D6E-409C-BE32-E72D297353CC}">
                <c16:uniqueId val="{00000003-64FD-41CB-B814-44EA7287216B}"/>
              </c:ext>
            </c:extLst>
          </c:dPt>
          <c:dPt>
            <c:idx val="2"/>
            <c:invertIfNegative val="0"/>
            <c:bubble3D val="0"/>
            <c:spPr>
              <a:solidFill>
                <a:srgbClr val="CCFF66"/>
              </a:solidFill>
              <a:ln>
                <a:noFill/>
              </a:ln>
              <a:effectLst/>
            </c:spPr>
            <c:extLst>
              <c:ext xmlns:c16="http://schemas.microsoft.com/office/drawing/2014/chart" uri="{C3380CC4-5D6E-409C-BE32-E72D297353CC}">
                <c16:uniqueId val="{00000005-64FD-41CB-B814-44EA7287216B}"/>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64FD-41CB-B814-44EA7287216B}"/>
              </c:ext>
            </c:extLst>
          </c:dPt>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mn-lt"/>
                    <a:ea typeface="+mn-ea"/>
                    <a:cs typeface="+mn-cs"/>
                  </a:defRPr>
                </a:pPr>
                <a:endParaRPr lang="en-US"/>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AOPChartSheet_chart4!$A$2:$A$17</c:f>
              <c:strCache>
                <c:ptCount val="16"/>
                <c:pt idx="0">
                  <c:v>Train</c:v>
                </c:pt>
                <c:pt idx="1">
                  <c:v>Bus</c:v>
                </c:pt>
                <c:pt idx="2">
                  <c:v>Ferry</c:v>
                </c:pt>
                <c:pt idx="3">
                  <c:v>Tram</c:v>
                </c:pt>
                <c:pt idx="4">
                  <c:v>Taxi</c:v>
                </c:pt>
                <c:pt idx="5">
                  <c:v>Car as driver</c:v>
                </c:pt>
                <c:pt idx="6">
                  <c:v>Car as passenger</c:v>
                </c:pt>
                <c:pt idx="7">
                  <c:v>Truck</c:v>
                </c:pt>
                <c:pt idx="8">
                  <c:v>Motorbike</c:v>
                </c:pt>
                <c:pt idx="9">
                  <c:v>Bicycle</c:v>
                </c:pt>
                <c:pt idx="10">
                  <c:v>Other</c:v>
                </c:pt>
                <c:pt idx="11">
                  <c:v>Walked only</c:v>
                </c:pt>
                <c:pt idx="12">
                  <c:v>Two methods</c:v>
                </c:pt>
                <c:pt idx="13">
                  <c:v>Three methods</c:v>
                </c:pt>
                <c:pt idx="14">
                  <c:v>Worked at home</c:v>
                </c:pt>
                <c:pt idx="15">
                  <c:v>Did not go to work</c:v>
                </c:pt>
              </c:strCache>
            </c:strRef>
          </c:cat>
          <c:val>
            <c:numRef>
              <c:f>AOPChartSheet_chart4!$B$2:$B$17</c:f>
              <c:numCache>
                <c:formatCode>General</c:formatCode>
                <c:ptCount val="16"/>
                <c:pt idx="0">
                  <c:v>279</c:v>
                </c:pt>
                <c:pt idx="1">
                  <c:v>84</c:v>
                </c:pt>
                <c:pt idx="2">
                  <c:v>0</c:v>
                </c:pt>
                <c:pt idx="3">
                  <c:v>1097</c:v>
                </c:pt>
                <c:pt idx="4">
                  <c:v>41</c:v>
                </c:pt>
                <c:pt idx="5">
                  <c:v>1628</c:v>
                </c:pt>
                <c:pt idx="6">
                  <c:v>138</c:v>
                </c:pt>
                <c:pt idx="7">
                  <c:v>4</c:v>
                </c:pt>
                <c:pt idx="8">
                  <c:v>46</c:v>
                </c:pt>
                <c:pt idx="9">
                  <c:v>401</c:v>
                </c:pt>
                <c:pt idx="10">
                  <c:v>49</c:v>
                </c:pt>
                <c:pt idx="11">
                  <c:v>1555</c:v>
                </c:pt>
                <c:pt idx="12">
                  <c:v>373</c:v>
                </c:pt>
                <c:pt idx="13">
                  <c:v>80</c:v>
                </c:pt>
                <c:pt idx="14">
                  <c:v>293</c:v>
                </c:pt>
                <c:pt idx="15">
                  <c:v>704</c:v>
                </c:pt>
              </c:numCache>
            </c:numRef>
          </c:val>
          <c:extLst>
            <c:ext xmlns:c16="http://schemas.microsoft.com/office/drawing/2014/chart" uri="{C3380CC4-5D6E-409C-BE32-E72D297353CC}">
              <c16:uniqueId val="{00000008-64FD-41CB-B814-44EA7287216B}"/>
            </c:ext>
          </c:extLst>
        </c:ser>
        <c:dLbls>
          <c:showLegendKey val="0"/>
          <c:showVal val="0"/>
          <c:showCatName val="0"/>
          <c:showSerName val="0"/>
          <c:showPercent val="0"/>
          <c:showBubbleSize val="0"/>
        </c:dLbls>
        <c:gapWidth val="326"/>
        <c:overlap val="-58"/>
        <c:axId val="1422950688"/>
        <c:axId val="1426196576"/>
      </c:barChart>
      <c:valAx>
        <c:axId val="1426196576"/>
        <c:scaling>
          <c:orientation val="minMax"/>
        </c:scaling>
        <c:delete val="0"/>
        <c:axPos val="b"/>
        <c:majorGridlines>
          <c:spPr>
            <a:ln w="9525" cap="flat" cmpd="sng" algn="ctr">
              <a:gradFill>
                <a:gsLst>
                  <a:gs pos="99000">
                    <a:schemeClr val="tx1">
                      <a:lumMod val="25000"/>
                      <a:lumOff val="75000"/>
                    </a:schemeClr>
                  </a:gs>
                  <a:gs pos="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w="9525">
                  <a:solidFill>
                    <a:schemeClr val="tx1">
                      <a:lumMod val="15000"/>
                      <a:lumOff val="85000"/>
                    </a:schemeClr>
                  </a:solidFill>
                </a:ln>
                <a:solidFill>
                  <a:schemeClr val="tx1">
                    <a:lumMod val="65000"/>
                    <a:lumOff val="35000"/>
                  </a:schemeClr>
                </a:solidFill>
                <a:latin typeface="+mn-lt"/>
                <a:ea typeface="+mn-ea"/>
                <a:cs typeface="+mn-cs"/>
              </a:defRPr>
            </a:pPr>
            <a:endParaRPr lang="en-US"/>
          </a:p>
        </c:txPr>
        <c:crossAx val="1422950688"/>
        <c:crosses val="autoZero"/>
        <c:crossBetween val="between"/>
      </c:valAx>
      <c:catAx>
        <c:axId val="1422950688"/>
        <c:scaling>
          <c:orientation val="minMax"/>
        </c:scaling>
        <c:delete val="0"/>
        <c:axPos val="l"/>
        <c:numFmt formatCode="General" sourceLinked="1"/>
        <c:majorTickMark val="none"/>
        <c:minorTickMark val="none"/>
        <c:tickLblPos val="nextTo"/>
        <c:spPr>
          <a:noFill/>
          <a:ln w="19050"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ln w="0">
                  <a:noFill/>
                </a:ln>
                <a:solidFill>
                  <a:sysClr val="windowText" lastClr="000000"/>
                </a:solidFill>
                <a:latin typeface="+mn-lt"/>
                <a:ea typeface="+mn-ea"/>
                <a:cs typeface="+mn-cs"/>
              </a:defRPr>
            </a:pPr>
            <a:endParaRPr lang="en-US"/>
          </a:p>
        </c:txPr>
        <c:crossAx val="1426196576"/>
        <c:crosses val="autoZero"/>
        <c:auto val="1"/>
        <c:lblAlgn val="ctr"/>
        <c:lblOffset val="100"/>
        <c:noMultiLvlLbl val="0"/>
      </c:catAx>
      <c:spPr>
        <a:noFill/>
        <a:ln>
          <a:noFill/>
        </a:ln>
        <a:effectLst/>
      </c:spPr>
    </c:plotArea>
    <c:plotVisOnly val="1"/>
    <c:dispBlanksAs val="gap"/>
    <c:showDLblsOverMax val="1"/>
  </c:chart>
  <c:spPr>
    <a:solidFill>
      <a:schemeClr val="bg1"/>
    </a:solidFill>
    <a:ln w="12700" cap="flat" cmpd="sng" algn="ctr">
      <a:solidFill>
        <a:schemeClr val="tx1">
          <a:lumMod val="15000"/>
          <a:lumOff val="85000"/>
        </a:schemeClr>
      </a:solidFill>
      <a:round/>
    </a:ln>
    <a:effectLst/>
  </c:spPr>
  <c:txPr>
    <a:bodyPr/>
    <a:lstStyle/>
    <a:p>
      <a:pPr>
        <a:defRPr>
          <a:ln w="9525">
            <a:solidFill>
              <a:schemeClr val="tx1">
                <a:lumMod val="15000"/>
                <a:lumOff val="85000"/>
              </a:schemeClr>
            </a:solidFill>
          </a:ln>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GB" sz="1000"/>
              <a:t>Tenure Type</a:t>
            </a:r>
          </a:p>
        </c:rich>
      </c:tx>
      <c:layout>
        <c:manualLayout>
          <c:xMode val="edge"/>
          <c:yMode val="edge"/>
          <c:x val="0.7251182795698925"/>
          <c:y val="7.6628352490421452E-3"/>
        </c:manualLayout>
      </c:layout>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0527395334900514"/>
          <c:y val="0.16559922100945271"/>
          <c:w val="0.79084495077581762"/>
          <c:h val="0.82821026274755916"/>
        </c:manualLayout>
      </c:layout>
      <c:pieChart>
        <c:varyColors val="1"/>
        <c:ser>
          <c:idx val="0"/>
          <c:order val="0"/>
          <c:tx>
            <c:strRef>
              <c:f>AOPChartSheet_chart4!$B$1</c:f>
              <c:strCache>
                <c:ptCount val="1"/>
                <c:pt idx="0">
                  <c:v>Series1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B96-4401-A44A-B52D820F635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B96-4401-A44A-B52D820F635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B96-4401-A44A-B52D820F635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B96-4401-A44A-B52D820F635D}"/>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AOPChartSheet_chart4!$A$2:$A$4</c:f>
              <c:strCache>
                <c:ptCount val="3"/>
                <c:pt idx="0">
                  <c:v>Owned outright</c:v>
                </c:pt>
                <c:pt idx="1">
                  <c:v>With a mortgage</c:v>
                </c:pt>
                <c:pt idx="2">
                  <c:v>Rented</c:v>
                </c:pt>
              </c:strCache>
            </c:strRef>
          </c:cat>
          <c:val>
            <c:numRef>
              <c:f>AOPChartSheet_chart4!$B$2:$B$4</c:f>
              <c:numCache>
                <c:formatCode>General</c:formatCode>
                <c:ptCount val="3"/>
                <c:pt idx="0">
                  <c:v>761</c:v>
                </c:pt>
                <c:pt idx="1">
                  <c:v>923</c:v>
                </c:pt>
                <c:pt idx="2">
                  <c:v>4000</c:v>
                </c:pt>
              </c:numCache>
            </c:numRef>
          </c:val>
          <c:extLst>
            <c:ext xmlns:c16="http://schemas.microsoft.com/office/drawing/2014/chart" uri="{C3380CC4-5D6E-409C-BE32-E72D297353CC}">
              <c16:uniqueId val="{00000008-BB96-4401-A44A-B52D820F635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GB" sz="1000"/>
              <a:t>Private Dwellings</a:t>
            </a:r>
          </a:p>
        </c:rich>
      </c:tx>
      <c:layout>
        <c:manualLayout>
          <c:xMode val="edge"/>
          <c:yMode val="edge"/>
          <c:x val="0.7251182795698925"/>
          <c:y val="7.6628352490421452E-3"/>
        </c:manualLayout>
      </c:layout>
      <c:overlay val="0"/>
      <c:spPr>
        <a:noFill/>
        <a:ln>
          <a:noFill/>
        </a:ln>
        <a:effectLst/>
      </c:spPr>
      <c:txPr>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endParaRPr lang="en-US"/>
        </a:p>
      </c:txPr>
    </c:title>
    <c:autoTitleDeleted val="0"/>
    <c:plotArea>
      <c:layout>
        <c:manualLayout>
          <c:layoutTarget val="inner"/>
          <c:xMode val="edge"/>
          <c:yMode val="edge"/>
          <c:x val="0.20527395334900514"/>
          <c:y val="0.16559922100945271"/>
          <c:w val="0.79084495077581762"/>
          <c:h val="0.82821026274755916"/>
        </c:manualLayout>
      </c:layout>
      <c:pieChart>
        <c:varyColors val="1"/>
        <c:ser>
          <c:idx val="0"/>
          <c:order val="0"/>
          <c:tx>
            <c:strRef>
              <c:f>AOPChartSheet_chart4!$B$1</c:f>
              <c:strCache>
                <c:ptCount val="1"/>
                <c:pt idx="0">
                  <c:v>Series1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B96-4401-A44A-B52D820F635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B96-4401-A44A-B52D820F635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B96-4401-A44A-B52D820F635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B96-4401-A44A-B52D820F635D}"/>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AOPChartSheet_chart4!$A$2:$A$5</c:f>
              <c:strCache>
                <c:ptCount val="4"/>
                <c:pt idx="0">
                  <c:v>Separate house</c:v>
                </c:pt>
                <c:pt idx="1">
                  <c:v>Semi detached, townhouse, etc.</c:v>
                </c:pt>
                <c:pt idx="2">
                  <c:v>Apartment</c:v>
                </c:pt>
                <c:pt idx="3">
                  <c:v>Unoccupied</c:v>
                </c:pt>
              </c:strCache>
            </c:strRef>
          </c:cat>
          <c:val>
            <c:numRef>
              <c:f>AOPChartSheet_chart4!$B$2:$B$5</c:f>
              <c:numCache>
                <c:formatCode>General</c:formatCode>
                <c:ptCount val="4"/>
                <c:pt idx="0">
                  <c:v>369</c:v>
                </c:pt>
                <c:pt idx="1">
                  <c:v>1597</c:v>
                </c:pt>
                <c:pt idx="2">
                  <c:v>3871</c:v>
                </c:pt>
                <c:pt idx="3">
                  <c:v>757</c:v>
                </c:pt>
              </c:numCache>
            </c:numRef>
          </c:val>
          <c:extLst>
            <c:ext xmlns:c16="http://schemas.microsoft.com/office/drawing/2014/chart" uri="{C3380CC4-5D6E-409C-BE32-E72D297353CC}">
              <c16:uniqueId val="{00000008-BB96-4401-A44A-B52D820F635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tx1">
                    <a:lumMod val="50000"/>
                    <a:lumOff val="50000"/>
                  </a:schemeClr>
                </a:solidFill>
                <a:latin typeface="+mn-lt"/>
                <a:ea typeface="+mn-ea"/>
                <a:cs typeface="+mn-cs"/>
              </a:defRPr>
            </a:pPr>
            <a:r>
              <a:rPr lang="en-GB" sz="1000"/>
              <a:t>Bedrooms</a:t>
            </a:r>
          </a:p>
        </c:rich>
      </c:tx>
      <c:layout>
        <c:manualLayout>
          <c:xMode val="edge"/>
          <c:yMode val="edge"/>
          <c:x val="0.7251182795698925"/>
          <c:y val="7.6628352490421452E-3"/>
        </c:manualLayout>
      </c:layout>
      <c:overlay val="0"/>
      <c:spPr>
        <a:noFill/>
        <a:ln>
          <a:noFill/>
        </a:ln>
        <a:effectLst/>
      </c:spPr>
    </c:title>
    <c:autoTitleDeleted val="0"/>
    <c:plotArea>
      <c:layout>
        <c:manualLayout>
          <c:layoutTarget val="inner"/>
          <c:xMode val="edge"/>
          <c:yMode val="edge"/>
          <c:x val="0.20527395334900514"/>
          <c:y val="0.16559922100945271"/>
          <c:w val="0.79084495077581762"/>
          <c:h val="0.82821026274755916"/>
        </c:manualLayout>
      </c:layout>
      <c:pieChart>
        <c:varyColors val="1"/>
        <c:ser>
          <c:idx val="0"/>
          <c:order val="0"/>
          <c:tx>
            <c:strRef>
              <c:f>AOPChartSheet_chart4!$B$1</c:f>
              <c:strCache>
                <c:ptCount val="1"/>
                <c:pt idx="0">
                  <c:v>Series1</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BB96-4401-A44A-B52D820F635D}"/>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BB96-4401-A44A-B52D820F635D}"/>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BB96-4401-A44A-B52D820F635D}"/>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BB96-4401-A44A-B52D820F635D}"/>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AOPChartSheet_chart4!$A$2:$A$7</c:f>
              <c:strCache>
                <c:ptCount val="6"/>
                <c:pt idx="0">
                  <c:v>1</c:v>
                </c:pt>
                <c:pt idx="1">
                  <c:v>2</c:v>
                </c:pt>
                <c:pt idx="2">
                  <c:v>3</c:v>
                </c:pt>
                <c:pt idx="3">
                  <c:v>4</c:v>
                </c:pt>
                <c:pt idx="4">
                  <c:v>5</c:v>
                </c:pt>
                <c:pt idx="5">
                  <c:v>6+</c:v>
                </c:pt>
              </c:strCache>
            </c:strRef>
          </c:cat>
          <c:val>
            <c:numRef>
              <c:f>AOPChartSheet_chart4!$B$2:$B$7</c:f>
              <c:numCache>
                <c:formatCode>General</c:formatCode>
                <c:ptCount val="6"/>
                <c:pt idx="0">
                  <c:v>1426</c:v>
                </c:pt>
                <c:pt idx="1">
                  <c:v>2702</c:v>
                </c:pt>
                <c:pt idx="2">
                  <c:v>1155</c:v>
                </c:pt>
                <c:pt idx="3">
                  <c:v>252</c:v>
                </c:pt>
                <c:pt idx="4">
                  <c:v>53</c:v>
                </c:pt>
                <c:pt idx="5">
                  <c:v>27</c:v>
                </c:pt>
              </c:numCache>
            </c:numRef>
          </c:val>
          <c:extLst>
            <c:ext xmlns:c16="http://schemas.microsoft.com/office/drawing/2014/chart" uri="{C3380CC4-5D6E-409C-BE32-E72D297353CC}">
              <c16:uniqueId val="{00000008-BB96-4401-A44A-B52D820F635D}"/>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19">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
  <cs:dataPoint3D>
    <cs:lnRef idx="0">
      <cs:styleClr val="auto"/>
    </cs:lnRef>
    <cs:fillRef idx="0">
      <cs:styleClr val="auto"/>
    </cs:fillRef>
    <cs:effectRef idx="0"/>
    <cs:fontRef idx="minor">
      <a:schemeClr val="tx1"/>
    </cs:fontRef>
    <cs:spPr>
      <a:solidFill>
        <a:schemeClr val="phClr">
          <a:alpha val="10196"/>
        </a:schemeClr>
      </a:solidFill>
      <a:ln w="50800">
        <a:solidFill>
          <a:schemeClr val="phClr">
            <a:alpha val="30000"/>
          </a:schemeClr>
        </a:solidFill>
      </a:ln>
    </cs:spPr>
  </cs:dataPoint3D>
  <cs:dataPointLine>
    <cs:lnRef idx="0">
      <cs:styleClr val="auto"/>
    </cs:lnRef>
    <cs:fillRef idx="0"/>
    <cs:effectRef idx="0"/>
    <cs:fontRef idx="minor">
      <a:schemeClr val="tx1"/>
    </cs:fontRef>
    <cs:spPr>
      <a:ln w="50800" cap="rnd" cmpd="sng" algn="ctr">
        <a:solidFill>
          <a:schemeClr val="phClr">
            <a:alpha val="30000"/>
          </a:schemeClr>
        </a:solidFill>
        <a:round/>
      </a:ln>
    </cs:spPr>
  </cs:dataPointLine>
  <cs:dataPointMarker>
    <cs:lnRef idx="0"/>
    <cs:fillRef idx="0">
      <cs:styleClr val="auto"/>
    </cs:fillRef>
    <cs:effectRef idx="0"/>
    <cs:fontRef idx="minor">
      <a:schemeClr val="tx1"/>
    </cs:fontRef>
    <cs:spPr>
      <a:solidFill>
        <a:schemeClr val="phClr"/>
      </a:solidFill>
      <a:ln w="12700" cap="flat" cmpd="sng" algn="ctr">
        <a:solidFill>
          <a:schemeClr val="lt1"/>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E8E9F572ED094E8383E5590DC772B8" ma:contentTypeVersion="12" ma:contentTypeDescription="Create a new document." ma:contentTypeScope="" ma:versionID="1bb915fc75be5a1805cb59bf2480beb7">
  <xsd:schema xmlns:xsd="http://www.w3.org/2001/XMLSchema" xmlns:xs="http://www.w3.org/2001/XMLSchema" xmlns:p="http://schemas.microsoft.com/office/2006/metadata/properties" xmlns:ns2="2b25dc5f-c082-4446-aba7-ec71fa509096" xmlns:ns3="0a161cc0-24c2-448c-82e1-468f3afe064b" targetNamespace="http://schemas.microsoft.com/office/2006/metadata/properties" ma:root="true" ma:fieldsID="da2c62e5989903802d3705d1356420e7" ns2:_="" ns3:_="">
    <xsd:import namespace="2b25dc5f-c082-4446-aba7-ec71fa509096"/>
    <xsd:import namespace="0a161cc0-24c2-448c-82e1-468f3afe06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25dc5f-c082-4446-aba7-ec71fa5090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161cc0-24c2-448c-82e1-468f3afe064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313BD4-2384-42C1-A241-C6F60AF6BA44}"/>
</file>

<file path=customXml/itemProps2.xml><?xml version="1.0" encoding="utf-8"?>
<ds:datastoreItem xmlns:ds="http://schemas.openxmlformats.org/officeDocument/2006/customXml" ds:itemID="{23124778-832F-47B9-8D4C-57E28E765F9A}"/>
</file>

<file path=customXml/itemProps3.xml><?xml version="1.0" encoding="utf-8"?>
<ds:datastoreItem xmlns:ds="http://schemas.openxmlformats.org/officeDocument/2006/customXml" ds:itemID="{7FC482A9-5C57-48D7-B5CA-FB3A817010F6}"/>
</file>

<file path=docProps/app.xml><?xml version="1.0" encoding="utf-8"?>
<Properties xmlns="http://schemas.openxmlformats.org/officeDocument/2006/extended-properties" xmlns:vt="http://schemas.openxmlformats.org/officeDocument/2006/docPropsVTypes">
  <Template>Normal.dotm</Template>
  <TotalTime>1475</TotalTime>
  <Pages>35</Pages>
  <Words>4557</Words>
  <Characters>25979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NORTH MELBOURNE VIC 3051 Houses</vt:lpstr>
    </vt:vector>
  </TitlesOfParts>
  <Company/>
  <LinksUpToDate>false</LinksUpToDate>
  <CharactersWithSpaces>30476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MELBOURNE VIC 3051 Houses</dc:title>
  <dc:subject/>
  <dc:creator>Alexandr Moroseac</dc:creator>
  <dc:description/>
  <cp:lastModifiedBy>Alexandr Moroseac</cp:lastModifiedBy>
  <cp:revision>119</cp:revision>
  <dcterms:created xsi:type="dcterms:W3CDTF">2020-06-29T06:17:00Z</dcterms:created>
  <dcterms:modified xsi:type="dcterms:W3CDTF">2021-11-23T07:22:00Z</dcterms:modified>
  <dc:language>en-AU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0x0101002EE8E9F572ED094E8383E5590DC772B8</vt:lpwstr>
  </property>
</Properties>
</file>